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media/image4.wmf" ContentType="image/x-wmf"/>
  <Override PartName="/word/media/image3.wmf" ContentType="image/x-wmf"/>
  <Override PartName="/word/media/image2.wmf" ContentType="image/x-wmf"/>
  <Override PartName="/word/media/image1.png" ContentType="image/png"/>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fontTable.xml" ContentType="application/vnd.openxmlformats-officedocument.wordprocessingml.fontTable+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ab/>
        <w:tab/>
        <w:tab/>
        <w:tab/>
        <w:tab/>
        <w:tab/>
        <w:tab/>
        <w:tab/>
        <w:t>December 10, 2018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Theresa Kliczewski</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US Department of Energy</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Office of Environmental Management</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Office of Waste and Materials Management (EM-4.2)</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1000 Independence Ave., SW</w:t>
        <w:tab/>
        <w:tab/>
        <w:tab/>
        <w:tab/>
        <w:tab/>
        <w:t>Sent to HLWnotice@em.doe.gov</w:t>
      </w:r>
    </w:p>
    <w:p>
      <w:pPr>
        <w:pStyle w:val="Normal"/>
        <w:spacing w:lineRule="auto" w:line="240" w:before="0" w:after="0"/>
        <w:rPr>
          <w:rFonts w:ascii="Times New Roman" w:hAnsi="Times New Roman" w:cs="Times New Roman"/>
          <w:b/>
          <w:b/>
          <w:sz w:val="24"/>
          <w:szCs w:val="24"/>
        </w:rPr>
      </w:pPr>
      <w:r>
        <w:rPr>
          <w:rFonts w:cs="Times New Roman" w:ascii="Times New Roman" w:hAnsi="Times New Roman"/>
          <w:sz w:val="24"/>
          <w:szCs w:val="24"/>
        </w:rPr>
        <w:t>Washington, DC 20585</w:t>
      </w:r>
      <w:r>
        <w:rPr>
          <w:rFonts w:cs="Times New Roman" w:ascii="Times New Roman" w:hAnsi="Times New Roman"/>
          <w:b/>
          <w:sz w:val="24"/>
          <w:szCs w:val="24"/>
        </w:rPr>
        <w:t xml:space="preserve"> </w:t>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t>Re: DOE Proposal on the Interpretation of High Level Radioactive Waste (HLW)</w:t>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t>Introduction</w:t>
      </w:r>
    </w:p>
    <w:p>
      <w:pPr>
        <w:pStyle w:val="Normal"/>
        <w:rPr>
          <w:rFonts w:ascii="Times New Roman" w:hAnsi="Times New Roman" w:cs="Times New Roman"/>
          <w:sz w:val="24"/>
          <w:szCs w:val="24"/>
        </w:rPr>
      </w:pPr>
      <w:r>
        <w:rPr>
          <w:rFonts w:cs="Times New Roman" w:ascii="Times New Roman" w:hAnsi="Times New Roman"/>
          <w:sz w:val="24"/>
          <w:szCs w:val="24"/>
        </w:rPr>
        <w:t xml:space="preserve">We are opposed to DOE’s proposal for a new interpretation of High Level Radioactive Waste. The goal should be isolation of all manmade radioactive waste from the biosphere for as long as it remains radioactive. If long-lived radioactive waste cannot be isolated in perpetuity to protect the public, environment and future generations, we should stop making such waste. </w:t>
      </w:r>
    </w:p>
    <w:p>
      <w:pPr>
        <w:pStyle w:val="Normal"/>
        <w:rPr>
          <w:rFonts w:ascii="Times New Roman" w:hAnsi="Times New Roman" w:cs="Times New Roman"/>
          <w:sz w:val="24"/>
          <w:szCs w:val="24"/>
        </w:rPr>
      </w:pPr>
      <w:r>
        <w:rPr>
          <w:rFonts w:cs="Times New Roman" w:ascii="Times New Roman" w:hAnsi="Times New Roman"/>
          <w:sz w:val="24"/>
          <w:szCs w:val="24"/>
        </w:rPr>
        <w:t>Our comments below are primarily directed to decisions that affect the West Valley Nuclear Waste Site in Western NY.</w:t>
      </w:r>
    </w:p>
    <w:p>
      <w:pPr>
        <w:pStyle w:val="Normal"/>
        <w:rPr>
          <w:rFonts w:ascii="Times New Roman" w:hAnsi="Times New Roman" w:cs="Times New Roman"/>
          <w:b/>
          <w:b/>
          <w:sz w:val="24"/>
          <w:szCs w:val="24"/>
        </w:rPr>
      </w:pPr>
      <w:r>
        <w:rPr>
          <w:rFonts w:cs="Times New Roman" w:ascii="Times New Roman" w:hAnsi="Times New Roman"/>
          <w:b/>
          <w:sz w:val="24"/>
          <w:szCs w:val="24"/>
        </w:rPr>
        <w:t xml:space="preserve">In summary: </w:t>
      </w:r>
    </w:p>
    <w:p>
      <w:pPr>
        <w:pStyle w:val="ListParagraph"/>
        <w:numPr>
          <w:ilvl w:val="0"/>
          <w:numId w:val="3"/>
        </w:numPr>
        <w:rPr>
          <w:rFonts w:ascii="Times New Roman" w:hAnsi="Times New Roman" w:cs="Times New Roman"/>
          <w:b/>
          <w:b/>
          <w:sz w:val="24"/>
          <w:szCs w:val="24"/>
        </w:rPr>
      </w:pPr>
      <w:r>
        <w:rPr>
          <w:rFonts w:cs="Times New Roman" w:ascii="Times New Roman" w:hAnsi="Times New Roman"/>
          <w:b/>
          <w:sz w:val="24"/>
          <w:szCs w:val="24"/>
        </w:rPr>
        <w:t xml:space="preserve">The statutory basis for dealing with nuclear waste at the West Valley site is the West Valley Demonstration Project Act of 1980. </w:t>
      </w:r>
      <w:r>
        <w:rPr>
          <w:rFonts w:cs="Times New Roman" w:ascii="Times New Roman" w:hAnsi="Times New Roman"/>
          <w:sz w:val="24"/>
          <w:szCs w:val="24"/>
        </w:rPr>
        <w:t>The Act of Congress was specific and did not leave the definitions of High Level Waste (HLW) open to interpretation by DOE. All high level wastes solidified as part of the project are to be permanently disposed in a Federal repository.</w:t>
      </w:r>
    </w:p>
    <w:p>
      <w:pPr>
        <w:pStyle w:val="ListParagraph"/>
        <w:rPr>
          <w:rFonts w:ascii="Times New Roman" w:hAnsi="Times New Roman" w:cs="Times New Roman"/>
          <w:b/>
          <w:b/>
          <w:sz w:val="24"/>
          <w:szCs w:val="24"/>
        </w:rPr>
      </w:pPr>
      <w:r>
        <w:rPr>
          <w:rFonts w:cs="Times New Roman" w:ascii="Times New Roman" w:hAnsi="Times New Roman"/>
          <w:b/>
          <w:sz w:val="24"/>
          <w:szCs w:val="24"/>
        </w:rPr>
      </w:r>
    </w:p>
    <w:p>
      <w:pPr>
        <w:pStyle w:val="ListParagraph"/>
        <w:numPr>
          <w:ilvl w:val="0"/>
          <w:numId w:val="3"/>
        </w:numPr>
        <w:rPr>
          <w:rFonts w:ascii="Times New Roman" w:hAnsi="Times New Roman" w:cs="Times New Roman"/>
          <w:sz w:val="24"/>
          <w:szCs w:val="24"/>
        </w:rPr>
      </w:pPr>
      <w:r>
        <w:rPr>
          <w:rFonts w:cs="Times New Roman" w:ascii="Times New Roman" w:hAnsi="Times New Roman"/>
          <w:b/>
          <w:sz w:val="24"/>
          <w:szCs w:val="24"/>
        </w:rPr>
        <w:t xml:space="preserve">West Valley reprocessing was a project of the Atomic Energy Commission, which sought to advance commercial reprocessing as it launched its Atoms for Peace program. </w:t>
      </w:r>
      <w:r>
        <w:rPr>
          <w:rFonts w:cs="Times New Roman" w:ascii="Times New Roman" w:hAnsi="Times New Roman"/>
          <w:sz w:val="24"/>
          <w:szCs w:val="24"/>
        </w:rPr>
        <w:t>Because nuclear reactors were just starting up, insufficient nuclear waste was available for reprocessing. The project used primarily defense waste as the baseload for reprocessing.</w:t>
      </w:r>
      <w:r>
        <w:rPr>
          <w:rFonts w:cs="Times New Roman" w:ascii="Times New Roman" w:hAnsi="Times New Roman"/>
          <w:b/>
          <w:sz w:val="24"/>
          <w:szCs w:val="24"/>
        </w:rPr>
        <w:t xml:space="preserve"> </w:t>
      </w:r>
      <w:r>
        <w:rPr>
          <w:rFonts w:cs="Times New Roman" w:ascii="Times New Roman" w:hAnsi="Times New Roman"/>
          <w:sz w:val="24"/>
          <w:szCs w:val="24"/>
        </w:rPr>
        <w:t>It is not accurate to define the total activity at West Valley as “commercial” reprocessing.</w:t>
      </w:r>
      <w:r>
        <w:rPr>
          <w:rFonts w:cs="Times New Roman" w:ascii="Times New Roman" w:hAnsi="Times New Roman"/>
          <w:b/>
          <w:sz w:val="24"/>
          <w:szCs w:val="24"/>
        </w:rPr>
        <w:t xml:space="preserve"> </w:t>
      </w:r>
      <w:r>
        <w:rPr>
          <w:rFonts w:cs="Times New Roman" w:ascii="Times New Roman" w:hAnsi="Times New Roman"/>
          <w:sz w:val="24"/>
          <w:szCs w:val="24"/>
        </w:rPr>
        <w:t>While AEC sought to advance commercial reprocessing for the future, the primary reprocessing undertaken was of defense waste.</w:t>
      </w:r>
      <w:r>
        <w:rPr>
          <w:rFonts w:cs="Times New Roman" w:ascii="Times New Roman" w:hAnsi="Times New Roman"/>
          <w:b/>
          <w:sz w:val="24"/>
          <w:szCs w:val="24"/>
        </w:rPr>
        <w:t xml:space="preserve"> </w:t>
      </w:r>
      <w:r>
        <w:rPr>
          <w:rFonts w:cs="Times New Roman" w:ascii="Times New Roman" w:hAnsi="Times New Roman"/>
          <w:sz w:val="24"/>
          <w:szCs w:val="24"/>
        </w:rPr>
        <w:t>After just six years, the company recognized it would have to invest a substantial amount of money to adequately upgrade the facility to meet new requirements and opted to discontinue its reprocessing operations. The majority of the waste reprocessed was “defense waste.”</w:t>
      </w:r>
    </w:p>
    <w:p>
      <w:pPr>
        <w:pStyle w:val="ListParagraph"/>
        <w:rPr>
          <w:rFonts w:ascii="Times New Roman" w:hAnsi="Times New Roman" w:cs="Times New Roman"/>
          <w:b/>
          <w:b/>
          <w:sz w:val="24"/>
          <w:szCs w:val="24"/>
        </w:rPr>
      </w:pPr>
      <w:r>
        <w:rPr>
          <w:rFonts w:cs="Times New Roman" w:ascii="Times New Roman" w:hAnsi="Times New Roman"/>
          <w:b/>
          <w:sz w:val="24"/>
          <w:szCs w:val="24"/>
        </w:rPr>
      </w:r>
    </w:p>
    <w:p>
      <w:pPr>
        <w:pStyle w:val="ListParagraph"/>
        <w:numPr>
          <w:ilvl w:val="0"/>
          <w:numId w:val="3"/>
        </w:numPr>
        <w:rPr>
          <w:rFonts w:ascii="Times New Roman" w:hAnsi="Times New Roman" w:cs="Times New Roman"/>
          <w:sz w:val="24"/>
          <w:szCs w:val="24"/>
        </w:rPr>
      </w:pPr>
      <w:r>
        <w:rPr>
          <w:rFonts w:cs="Times New Roman" w:ascii="Times New Roman" w:hAnsi="Times New Roman"/>
          <w:b/>
          <w:sz w:val="24"/>
          <w:szCs w:val="24"/>
        </w:rPr>
        <w:t xml:space="preserve">The “risks that reprocessing waste poses to human health and the environment depend on the physical characteristics of the disposal facility and that facility’s ability to safely isolate the waste from the human environment.” </w:t>
      </w:r>
      <w:r>
        <w:rPr>
          <w:rStyle w:val="FootnoteAnchor"/>
          <w:rFonts w:cs="Times New Roman" w:ascii="Times New Roman" w:hAnsi="Times New Roman"/>
          <w:b/>
          <w:sz w:val="24"/>
          <w:szCs w:val="24"/>
        </w:rPr>
        <w:footnoteReference w:id="2"/>
      </w:r>
      <w:r>
        <w:rPr>
          <w:rFonts w:cs="Times New Roman" w:ascii="Times New Roman" w:hAnsi="Times New Roman"/>
          <w:b/>
          <w:sz w:val="24"/>
          <w:szCs w:val="24"/>
        </w:rPr>
        <w:t xml:space="preserve"> </w:t>
      </w:r>
      <w:r>
        <w:rPr>
          <w:rFonts w:cs="Times New Roman" w:ascii="Times New Roman" w:hAnsi="Times New Roman"/>
          <w:sz w:val="24"/>
          <w:szCs w:val="24"/>
        </w:rPr>
        <w:t xml:space="preserve">These risks make West Valley a unique case because the site is wearing away and unable to isolate the waste. The reprocessing facility was sited on eroding plateaus before any regulatory standards were in place. It lies over a sole source aquifer, and on-site streams feed Lake Erie, one of the Great Lakes, a critically important resource. It should be noted that the Federal government has invested millions of dollars annually to preserve, protect and restore the Great Lakes. These federal goals stand in direct opposition to increasing long-lived radioactive contamination of this valuable resource. </w:t>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t>In 2008, a full cost accounting study of the clean-up options for West Valley was released. The Synapse Study</w:t>
      </w:r>
      <w:r>
        <w:rPr>
          <w:rStyle w:val="FootnoteAnchor"/>
          <w:rFonts w:cs="Times New Roman" w:ascii="Times New Roman" w:hAnsi="Times New Roman"/>
          <w:sz w:val="24"/>
          <w:szCs w:val="24"/>
        </w:rPr>
        <w:footnoteReference w:id="3"/>
      </w:r>
      <w:r>
        <w:rPr>
          <w:rFonts w:cs="Times New Roman" w:ascii="Times New Roman" w:hAnsi="Times New Roman"/>
          <w:sz w:val="24"/>
          <w:szCs w:val="24"/>
        </w:rPr>
        <w:t xml:space="preserve"> determined that it was both less expensive and safer to remove the waste now rather than leaving the nuclear waste in place with the risk of even one percent being released to local waterways. Such risks were identified as being economically costly in addition to increasing health risks. </w:t>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numPr>
          <w:ilvl w:val="0"/>
          <w:numId w:val="3"/>
        </w:numPr>
        <w:rPr>
          <w:rFonts w:ascii="Times New Roman" w:hAnsi="Times New Roman" w:cs="Times New Roman"/>
          <w:sz w:val="24"/>
          <w:szCs w:val="24"/>
        </w:rPr>
      </w:pPr>
      <w:r>
        <w:rPr>
          <w:rFonts w:cs="Times New Roman" w:ascii="Times New Roman" w:hAnsi="Times New Roman"/>
          <w:b/>
          <w:sz w:val="24"/>
          <w:szCs w:val="24"/>
        </w:rPr>
        <w:t xml:space="preserve">DOE tells us that its “interpretation under this proposal does not require the removal of key radionuclides to the maximum extent that is technically and economically practical before DOE can define waste as non-HLW.” </w:t>
      </w:r>
      <w:r>
        <w:rPr>
          <w:rStyle w:val="FootnoteAnchor"/>
          <w:rFonts w:cs="Times New Roman" w:ascii="Times New Roman" w:hAnsi="Times New Roman"/>
          <w:b/>
          <w:sz w:val="24"/>
          <w:szCs w:val="24"/>
        </w:rPr>
        <w:footnoteReference w:id="4"/>
      </w:r>
      <w:r>
        <w:rPr>
          <w:rFonts w:cs="Times New Roman" w:ascii="Times New Roman" w:hAnsi="Times New Roman"/>
          <w:sz w:val="24"/>
          <w:szCs w:val="24"/>
        </w:rPr>
        <w:t xml:space="preserve"> There is no scientific, technical or economic justification for this decision. There also is no report containing such information along with a detailed cost-benefit analysis of the various options. This particular interpretation is not explained at all. DOE is seeking to deregulate in the absence of reasonable analysis of technical and economic practicality. In addition it is not consistent with trying to isolate long- lived radionuclides from humans.  Merely changing the definition does not reduce the dangers or risks of the radionuclides present, or the volumes needing transport and long- term storage. We are aware that newer techniques and equipment have been developed along with remediation work at DOE sites, at substantial cost reductions. </w:t>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numPr>
          <w:ilvl w:val="0"/>
          <w:numId w:val="3"/>
        </w:numPr>
        <w:rPr>
          <w:rFonts w:ascii="Times New Roman" w:hAnsi="Times New Roman" w:cs="Times New Roman"/>
          <w:sz w:val="24"/>
          <w:szCs w:val="24"/>
        </w:rPr>
      </w:pPr>
      <w:r>
        <w:rPr>
          <w:rFonts w:cs="Times New Roman" w:ascii="Times New Roman" w:hAnsi="Times New Roman"/>
          <w:b/>
          <w:sz w:val="24"/>
          <w:szCs w:val="24"/>
        </w:rPr>
        <w:t xml:space="preserve">The Federal Register notice offers only a performance assessment with no details to demonstrate that all applicable requirements of a disposal facility are met in order to dispose of HLW as non-HLW. </w:t>
      </w:r>
      <w:r>
        <w:rPr>
          <w:rFonts w:cs="Times New Roman" w:ascii="Times New Roman" w:hAnsi="Times New Roman"/>
          <w:sz w:val="24"/>
          <w:szCs w:val="24"/>
        </w:rPr>
        <w:t>A performance assessment cannot make up for West Valley’s inability to meet minimal siting requirements for radioactive disposal facilities and inability to isolate nuclear waste for the long term future. A poorly defined performance assessment also stands in sharp contrast to the lengthy requirements for a geological repository for High Level Waste.</w:t>
      </w:r>
      <w:r>
        <w:rPr>
          <w:rFonts w:cs="Times New Roman" w:ascii="Times New Roman" w:hAnsi="Times New Roman"/>
          <w:b/>
          <w:sz w:val="24"/>
          <w:szCs w:val="24"/>
        </w:rPr>
        <w:t xml:space="preserve">  </w:t>
      </w:r>
      <w:r>
        <w:rPr>
          <w:rFonts w:cs="Times New Roman" w:ascii="Times New Roman" w:hAnsi="Times New Roman"/>
          <w:sz w:val="24"/>
          <w:szCs w:val="24"/>
        </w:rPr>
        <w:t>Therefore, a performance assessment cannot possibly substitute for stringent regulatory requirements designed to isolate long-lived hazardous radionuclides from humans and ecosystems for a million years.</w:t>
      </w:r>
    </w:p>
    <w:p>
      <w:pPr>
        <w:pStyle w:val="ListParagraph"/>
        <w:rPr>
          <w:rFonts w:ascii="Times New Roman" w:hAnsi="Times New Roman" w:cs="Times New Roman"/>
          <w:b/>
          <w:b/>
          <w:sz w:val="24"/>
          <w:szCs w:val="24"/>
          <w:u w:val="single"/>
        </w:rPr>
      </w:pPr>
      <w:r>
        <w:rPr>
          <w:rFonts w:cs="Times New Roman" w:ascii="Times New Roman" w:hAnsi="Times New Roman"/>
          <w:b/>
          <w:sz w:val="24"/>
          <w:szCs w:val="24"/>
          <w:u w:val="single"/>
        </w:rPr>
      </w:r>
    </w:p>
    <w:p>
      <w:pPr>
        <w:pStyle w:val="ListParagraph"/>
        <w:rPr>
          <w:rFonts w:ascii="Times New Roman" w:hAnsi="Times New Roman" w:cs="Times New Roman"/>
          <w:b/>
          <w:b/>
          <w:sz w:val="24"/>
          <w:szCs w:val="24"/>
          <w:u w:val="single"/>
        </w:rPr>
      </w:pPr>
      <w:r>
        <w:rPr>
          <w:rFonts w:cs="Times New Roman" w:ascii="Times New Roman" w:hAnsi="Times New Roman"/>
          <w:b/>
          <w:sz w:val="24"/>
          <w:szCs w:val="24"/>
          <w:u w:val="single"/>
        </w:rPr>
        <w:t>Our Conclusion</w:t>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t xml:space="preserve">We have attached a Detailed Discussion of the major points in the Summary to this letter. Any new interpretation related to HLW from reprocessing cannot be applied to the West Valley Demonstration Project. The West Valley Demonstration Project Act, governing the project directs that waste associated with reprocessing must be disposed in an appropriate Federal repository for permanent disposal. </w:t>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t>The proposal by DOE is a deregulatory one that fails to prioritize the isolation of hazardous long-lived radionuclides from the environment and humans over the long term. If the proposal was grounded in protection of the environment and health, there would have been far more analyses supporting a regulatory framework for continued isolation and public health protection. In fact the Federal Register notice is brief with no referenced documents that provide supporting documentation for a well-considered proposal.</w:t>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t xml:space="preserve">The proposal would also allow reprocessing to be done at much lower costs. This outcome is particularly dangerous. The sorry history of reprocessing, its failures, a legacy of contamination and nuclear proliferation—all demonstrate a path that should not be pursued again. </w:t>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t xml:space="preserve">In general, the DOE has not supported its proposal with adequate documentation that the health and environmental risks have been adequately considered. Interpretation of the waste alone is not sufficient when site factors and adequate isolation of the radioactive waste is not demonstrated. </w:t>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t xml:space="preserve">We oppose this deregulatory proposal and urge the Agency to withdraw the proposal. Instead, the Agency should redouble its efforts to protect the public from radiological hazards. </w:t>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pPr>
      <w:r>
        <w:rPr>
          <w:rFonts w:cs="Times New Roman" w:ascii="Times New Roman" w:hAnsi="Times New Roman"/>
          <w:sz w:val="24"/>
          <w:szCs w:val="24"/>
        </w:rPr>
        <w:t xml:space="preserve">If there are questions, please contact Barbara Warren, 845-754-7951, </w:t>
      </w:r>
      <w:hyperlink r:id="rId2">
        <w:r>
          <w:rPr>
            <w:rStyle w:val="InternetLink"/>
            <w:rFonts w:cs="Times New Roman" w:ascii="Times New Roman" w:hAnsi="Times New Roman"/>
            <w:sz w:val="24"/>
            <w:szCs w:val="24"/>
          </w:rPr>
          <w:t>warrenba@msn.com</w:t>
        </w:r>
      </w:hyperlink>
      <w:r>
        <w:rPr>
          <w:rFonts w:cs="Times New Roman" w:ascii="Times New Roman" w:hAnsi="Times New Roman"/>
          <w:sz w:val="24"/>
          <w:szCs w:val="24"/>
        </w:rPr>
        <w:t xml:space="preserve"> </w:t>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t xml:space="preserve">Respectfully submitted, </w:t>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drawing>
          <wp:inline distT="0" distB="0" distL="0" distR="0">
            <wp:extent cx="1546860" cy="464820"/>
            <wp:effectExtent l="0" t="0" r="0" b="0"/>
            <wp:docPr id="1" name="Picture 2" descr="barbs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barbsig[1]"/>
                    <pic:cNvPicPr>
                      <a:picLocks noChangeAspect="1" noChangeArrowheads="1"/>
                    </pic:cNvPicPr>
                  </pic:nvPicPr>
                  <pic:blipFill>
                    <a:blip r:embed="rId3"/>
                    <a:stretch>
                      <a:fillRect/>
                    </a:stretch>
                  </pic:blipFill>
                  <pic:spPr bwMode="auto">
                    <a:xfrm>
                      <a:off x="0" y="0"/>
                      <a:ext cx="1546860" cy="464820"/>
                    </a:xfrm>
                    <a:prstGeom prst="rect">
                      <a:avLst/>
                    </a:prstGeom>
                  </pic:spPr>
                </pic:pic>
              </a:graphicData>
            </a:graphic>
          </wp:inline>
        </w:drawing>
      </w:r>
    </w:p>
    <w:p>
      <w:pPr>
        <w:pStyle w:val="ListParagraph"/>
        <w:rPr>
          <w:rFonts w:ascii="Times New Roman" w:hAnsi="Times New Roman" w:cs="Times New Roman"/>
          <w:sz w:val="24"/>
          <w:szCs w:val="24"/>
        </w:rPr>
      </w:pPr>
      <w:r>
        <w:rPr>
          <w:rFonts w:cs="Times New Roman" w:ascii="Times New Roman" w:hAnsi="Times New Roman"/>
          <w:sz w:val="24"/>
          <w:szCs w:val="24"/>
        </w:rPr>
        <w:t>Barbara J. Warren</w:t>
      </w:r>
    </w:p>
    <w:p>
      <w:pPr>
        <w:pStyle w:val="ListParagraph"/>
        <w:rPr>
          <w:rFonts w:ascii="Times New Roman" w:hAnsi="Times New Roman" w:cs="Times New Roman"/>
          <w:sz w:val="24"/>
          <w:szCs w:val="24"/>
        </w:rPr>
      </w:pPr>
      <w:r>
        <w:rPr>
          <w:rFonts w:cs="Times New Roman" w:ascii="Times New Roman" w:hAnsi="Times New Roman"/>
          <w:sz w:val="24"/>
          <w:szCs w:val="24"/>
        </w:rPr>
        <w:t>Executive Director</w:t>
      </w:r>
    </w:p>
    <w:p>
      <w:pPr>
        <w:pStyle w:val="ListParagraph"/>
        <w:rPr>
          <w:rFonts w:ascii="Times New Roman" w:hAnsi="Times New Roman" w:cs="Times New Roman"/>
          <w:sz w:val="24"/>
          <w:szCs w:val="24"/>
        </w:rPr>
      </w:pPr>
      <w:r>
        <w:rPr>
          <w:rFonts w:cs="Times New Roman" w:ascii="Times New Roman" w:hAnsi="Times New Roman"/>
          <w:sz w:val="24"/>
          <w:szCs w:val="24"/>
        </w:rPr>
        <w:t>Citizens’ Environmental Coalition</w:t>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b/>
          <w:b/>
          <w:sz w:val="24"/>
          <w:szCs w:val="24"/>
          <w:u w:val="single"/>
        </w:rPr>
      </w:pPr>
      <w:r>
        <w:rPr>
          <w:rFonts w:cs="Times New Roman" w:ascii="Times New Roman" w:hAnsi="Times New Roman"/>
          <w:b/>
          <w:sz w:val="24"/>
          <w:szCs w:val="24"/>
          <w:u w:val="single"/>
        </w:rPr>
      </w:r>
    </w:p>
    <w:p>
      <w:pPr>
        <w:pStyle w:val="Normal"/>
        <w:jc w:val="center"/>
        <w:rPr>
          <w:rFonts w:ascii="Times New Roman" w:hAnsi="Times New Roman" w:cs="Times New Roman"/>
          <w:b/>
          <w:b/>
          <w:sz w:val="24"/>
          <w:szCs w:val="24"/>
          <w:u w:val="single"/>
        </w:rPr>
      </w:pPr>
      <w:r>
        <w:rPr>
          <w:rFonts w:cs="Times New Roman" w:ascii="Times New Roman" w:hAnsi="Times New Roman"/>
          <w:b/>
          <w:sz w:val="24"/>
          <w:szCs w:val="24"/>
          <w:u w:val="single"/>
        </w:rPr>
        <w:t>Detailed Discussion of Major Issues</w:t>
      </w:r>
    </w:p>
    <w:p>
      <w:pPr>
        <w:pStyle w:val="Normal"/>
        <w:jc w:val="center"/>
        <w:rPr>
          <w:rFonts w:ascii="Times New Roman" w:hAnsi="Times New Roman" w:cs="Times New Roman"/>
          <w:b/>
          <w:b/>
          <w:sz w:val="24"/>
          <w:szCs w:val="24"/>
          <w:u w:val="single"/>
        </w:rPr>
      </w:pPr>
      <w:r>
        <w:rPr>
          <w:rFonts w:cs="Times New Roman" w:ascii="Times New Roman" w:hAnsi="Times New Roman"/>
          <w:b/>
          <w:sz w:val="24"/>
          <w:szCs w:val="24"/>
          <w:u w:val="single"/>
        </w:rPr>
      </w:r>
    </w:p>
    <w:p>
      <w:pPr>
        <w:pStyle w:val="Normal"/>
        <w:rPr>
          <w:rFonts w:ascii="Times New Roman" w:hAnsi="Times New Roman" w:cs="Times New Roman"/>
          <w:b/>
          <w:b/>
          <w:sz w:val="24"/>
          <w:szCs w:val="24"/>
        </w:rPr>
      </w:pPr>
      <w:r>
        <w:rPr>
          <w:rFonts w:cs="Times New Roman" w:ascii="Times New Roman" w:hAnsi="Times New Roman"/>
          <w:b/>
          <w:sz w:val="24"/>
          <w:szCs w:val="24"/>
        </w:rPr>
        <w:t>Nuclear Waste Policy Act of 1982</w:t>
      </w:r>
    </w:p>
    <w:p>
      <w:pPr>
        <w:pStyle w:val="Normal"/>
        <w:rPr>
          <w:rFonts w:ascii="Times New Roman" w:hAnsi="Times New Roman" w:cs="Times New Roman"/>
          <w:i/>
          <w:i/>
          <w:sz w:val="24"/>
          <w:szCs w:val="24"/>
        </w:rPr>
      </w:pPr>
      <w:r>
        <w:rPr>
          <w:rFonts w:cs="Times New Roman" w:ascii="Times New Roman" w:hAnsi="Times New Roman"/>
          <w:i/>
          <w:sz w:val="24"/>
          <w:szCs w:val="24"/>
        </w:rPr>
        <w:t>Definition: (12) The term “high-level radioactive waste” means— (A) the highly radioactive material resulting from the reprocessing of spent nuclear fuel, including liquid waste produced directly in reprocessing and any solid material derived from such liquid waste that contains fission products in sufficient concentrations; and (B) other highly radioactive material that the Commission, consistent with existing law, determines by rule requires permanent isolation.</w:t>
      </w:r>
    </w:p>
    <w:p>
      <w:pPr>
        <w:pStyle w:val="Normal"/>
        <w:rPr>
          <w:rFonts w:ascii="Times New Roman" w:hAnsi="Times New Roman" w:cs="Times New Roman"/>
          <w:sz w:val="24"/>
          <w:szCs w:val="24"/>
        </w:rPr>
      </w:pPr>
      <w:r>
        <w:rPr>
          <w:rFonts w:cs="Times New Roman" w:ascii="Times New Roman" w:hAnsi="Times New Roman"/>
          <w:sz w:val="24"/>
          <w:szCs w:val="24"/>
        </w:rPr>
        <w:t>In the Federal Register notice, DOE states in the summary to the proposal that the statutory term above allows DOE the ability to interpret the application of the definition.</w:t>
      </w:r>
    </w:p>
    <w:p>
      <w:pPr>
        <w:pStyle w:val="Normal"/>
        <w:rPr>
          <w:rFonts w:ascii="Times New Roman" w:hAnsi="Times New Roman" w:cs="Times New Roman"/>
          <w:sz w:val="24"/>
          <w:szCs w:val="24"/>
        </w:rPr>
      </w:pPr>
      <w:r>
        <w:rPr>
          <w:rFonts w:cs="Times New Roman" w:ascii="Times New Roman" w:hAnsi="Times New Roman"/>
          <w:sz w:val="24"/>
          <w:szCs w:val="24"/>
        </w:rPr>
        <w:t xml:space="preserve">As a result DOE’s interpretation of HLW(high level waste) is that reprocessing waste is non-HLW if the waste: </w:t>
      </w:r>
    </w:p>
    <w:p>
      <w:pPr>
        <w:pStyle w:val="Normal"/>
        <w:ind w:left="720" w:hanging="360"/>
        <w:rPr>
          <w:rFonts w:ascii="Times New Roman" w:hAnsi="Times New Roman" w:cs="Times New Roman"/>
          <w:sz w:val="24"/>
          <w:szCs w:val="24"/>
        </w:rPr>
      </w:pPr>
      <w:r>
        <w:rPr>
          <w:rFonts w:cs="Times New Roman" w:ascii="Times New Roman" w:hAnsi="Times New Roman"/>
          <w:sz w:val="24"/>
          <w:szCs w:val="24"/>
        </w:rPr>
        <w:t xml:space="preserve">I  Does not exceed concentration limits for Class C low-level radioactive waste as set out in section 61.55 of title 10, Code of Federal regulations; or </w:t>
      </w:r>
    </w:p>
    <w:p>
      <w:pPr>
        <w:pStyle w:val="Normal"/>
        <w:ind w:left="720" w:hanging="360"/>
        <w:rPr>
          <w:rFonts w:ascii="Times New Roman" w:hAnsi="Times New Roman" w:cs="Times New Roman"/>
          <w:sz w:val="24"/>
          <w:szCs w:val="24"/>
        </w:rPr>
      </w:pPr>
      <w:r>
        <w:rPr>
          <w:rFonts w:cs="Times New Roman" w:ascii="Times New Roman" w:hAnsi="Times New Roman"/>
          <w:sz w:val="24"/>
          <w:szCs w:val="24"/>
        </w:rPr>
        <w:t>II   Does not require disposal in a deep geological repository, and meets the performance objectives of a disposal facility as demonstrated through a performance assessment, conducted in accordance with applicable regulatory requirements.</w:t>
      </w:r>
    </w:p>
    <w:p>
      <w:pPr>
        <w:pStyle w:val="Normal"/>
        <w:rPr>
          <w:rFonts w:ascii="Times New Roman" w:hAnsi="Times New Roman" w:cs="Times New Roman"/>
          <w:sz w:val="24"/>
          <w:szCs w:val="24"/>
        </w:rPr>
      </w:pPr>
      <w:r>
        <w:rPr>
          <w:rFonts w:cs="Times New Roman" w:ascii="Times New Roman" w:hAnsi="Times New Roman"/>
          <w:sz w:val="24"/>
          <w:szCs w:val="24"/>
        </w:rPr>
        <w:t xml:space="preserve">DOE says that Congress’ intent was to leave the definitions open to interpretation by DOE, to allow DOE to provide additional details. DOE discusses 2 issues—highly radioactive materials that generate high levels of radiation from fission products and long-lived radionuclides which if not properly contained pose a risk to humans and the environment for hundreds of thousands of years. DOE states in the Federal Register notice that “Reprocessing waste that does not exceed Class C Limits is non-HLW.” </w:t>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sz w:val="24"/>
          <w:szCs w:val="24"/>
        </w:rPr>
      </w:pPr>
      <w:r>
        <w:rPr>
          <w:rFonts w:cs="Times New Roman" w:ascii="Times New Roman" w:hAnsi="Times New Roman"/>
          <w:b/>
          <w:sz w:val="24"/>
          <w:szCs w:val="24"/>
        </w:rPr>
        <w:t>Issue #1</w:t>
      </w:r>
      <w:r>
        <w:rPr>
          <w:rFonts w:cs="Times New Roman" w:ascii="Times New Roman" w:hAnsi="Times New Roman"/>
          <w:sz w:val="24"/>
          <w:szCs w:val="24"/>
        </w:rPr>
        <w:t xml:space="preserve"> </w:t>
      </w:r>
      <w:r>
        <w:rPr>
          <w:rFonts w:cs="Times New Roman" w:ascii="Times New Roman" w:hAnsi="Times New Roman"/>
          <w:b/>
          <w:sz w:val="24"/>
          <w:szCs w:val="24"/>
        </w:rPr>
        <w:t>The West Valley Demonstration Project operates under specific statutory language applicable to the operations and the site itself, as authorized by Congress in 1980, in the West Valley Demonstration Project Act.</w:t>
      </w:r>
      <w:r>
        <w:rPr>
          <w:rFonts w:cs="Times New Roman" w:ascii="Times New Roman" w:hAnsi="Times New Roman"/>
          <w:sz w:val="24"/>
          <w:szCs w:val="24"/>
        </w:rPr>
        <w:t xml:space="preserve"> The Act was specific and did not leave the definitions of High Level Waste (HLW) open to interpretation by DOE. Instead, how the high level radioactive waste is to be handled, is specified by law. </w:t>
      </w:r>
    </w:p>
    <w:p>
      <w:pPr>
        <w:pStyle w:val="Normal"/>
        <w:rPr>
          <w:rFonts w:ascii="Times New Roman" w:hAnsi="Times New Roman" w:cs="Times New Roman"/>
          <w:b/>
          <w:b/>
          <w:sz w:val="24"/>
          <w:szCs w:val="24"/>
        </w:rPr>
      </w:pPr>
      <w:r>
        <w:rPr>
          <w:rFonts w:cs="Times New Roman" w:ascii="Times New Roman" w:hAnsi="Times New Roman"/>
          <w:b/>
          <w:sz w:val="24"/>
          <w:szCs w:val="24"/>
        </w:rPr>
        <w:t>The West Valley Demonstration Project Act of 1980</w:t>
      </w:r>
    </w:p>
    <w:p>
      <w:pPr>
        <w:pStyle w:val="Normal"/>
        <w:rPr>
          <w:rFonts w:ascii="Times New Roman" w:hAnsi="Times New Roman" w:cs="Times New Roman"/>
          <w:sz w:val="24"/>
          <w:szCs w:val="24"/>
        </w:rPr>
      </w:pPr>
      <w:r>
        <w:rPr>
          <w:rFonts w:cs="Times New Roman" w:ascii="Times New Roman" w:hAnsi="Times New Roman"/>
          <w:sz w:val="24"/>
          <w:szCs w:val="24"/>
        </w:rPr>
        <w:t>Section 1. WVDPA</w:t>
      </w:r>
    </w:p>
    <w:p>
      <w:pPr>
        <w:pStyle w:val="Normal"/>
        <w:rPr>
          <w:rFonts w:ascii="Times New Roman" w:hAnsi="Times New Roman" w:cs="Times New Roman"/>
          <w:sz w:val="24"/>
          <w:szCs w:val="24"/>
        </w:rPr>
      </w:pPr>
      <w:r>
        <w:rPr>
          <w:rFonts w:cs="Times New Roman" w:ascii="Times New Roman" w:hAnsi="Times New Roman"/>
          <w:sz w:val="24"/>
          <w:szCs w:val="24"/>
        </w:rPr>
        <w:t>Sec. 2 a)</w:t>
      </w:r>
    </w:p>
    <w:p>
      <w:pPr>
        <w:pStyle w:val="Normal"/>
        <w:ind w:firstLine="360"/>
        <w:rPr>
          <w:rFonts w:ascii="Times New Roman" w:hAnsi="Times New Roman" w:cs="Times New Roman"/>
          <w:i/>
          <w:i/>
          <w:sz w:val="24"/>
          <w:szCs w:val="24"/>
        </w:rPr>
      </w:pPr>
      <w:r>
        <w:rPr>
          <w:rFonts w:cs="Times New Roman" w:ascii="Times New Roman" w:hAnsi="Times New Roman"/>
          <w:i/>
          <w:sz w:val="24"/>
          <w:szCs w:val="24"/>
        </w:rPr>
        <w:t>“</w:t>
      </w:r>
      <w:r>
        <w:rPr>
          <w:rFonts w:cs="Times New Roman" w:ascii="Times New Roman" w:hAnsi="Times New Roman"/>
          <w:i/>
          <w:sz w:val="24"/>
          <w:szCs w:val="24"/>
        </w:rPr>
        <w:t>5) The Secretary shall decontaminate and decommission—</w:t>
      </w:r>
    </w:p>
    <w:p>
      <w:pPr>
        <w:pStyle w:val="ListParagraph"/>
        <w:numPr>
          <w:ilvl w:val="0"/>
          <w:numId w:val="1"/>
        </w:numPr>
        <w:spacing w:lineRule="auto" w:line="240" w:before="0" w:after="0"/>
        <w:rPr>
          <w:rFonts w:ascii="Times New Roman" w:hAnsi="Times New Roman" w:cs="Times New Roman"/>
          <w:i/>
          <w:i/>
          <w:sz w:val="24"/>
          <w:szCs w:val="24"/>
        </w:rPr>
      </w:pPr>
      <w:r>
        <w:rPr>
          <w:rFonts w:cs="Times New Roman" w:ascii="Times New Roman" w:hAnsi="Times New Roman"/>
          <w:i/>
          <w:sz w:val="24"/>
          <w:szCs w:val="24"/>
        </w:rPr>
        <w:t xml:space="preserve">The tanks and other facilities at the Center in which the high level radioactive waste </w:t>
      </w:r>
    </w:p>
    <w:p>
      <w:pPr>
        <w:pStyle w:val="Normal"/>
        <w:spacing w:lineRule="auto" w:line="240" w:before="0" w:after="0"/>
        <w:ind w:left="270" w:firstLine="810"/>
        <w:rPr>
          <w:rFonts w:ascii="Times New Roman" w:hAnsi="Times New Roman" w:cs="Times New Roman"/>
          <w:i/>
          <w:i/>
          <w:sz w:val="24"/>
          <w:szCs w:val="24"/>
        </w:rPr>
      </w:pPr>
      <w:r>
        <w:rPr>
          <w:rFonts w:cs="Times New Roman" w:ascii="Times New Roman" w:hAnsi="Times New Roman"/>
          <w:i/>
          <w:sz w:val="24"/>
          <w:szCs w:val="24"/>
        </w:rPr>
        <w:t>solidified under the project was stored,</w:t>
      </w:r>
    </w:p>
    <w:p>
      <w:pPr>
        <w:pStyle w:val="ListParagraph"/>
        <w:numPr>
          <w:ilvl w:val="0"/>
          <w:numId w:val="1"/>
        </w:numPr>
        <w:spacing w:lineRule="auto" w:line="240" w:before="0" w:after="0"/>
        <w:rPr>
          <w:rFonts w:ascii="Times New Roman" w:hAnsi="Times New Roman" w:cs="Times New Roman"/>
          <w:i/>
          <w:i/>
          <w:sz w:val="24"/>
          <w:szCs w:val="24"/>
        </w:rPr>
      </w:pPr>
      <w:r>
        <w:rPr>
          <w:rFonts w:cs="Times New Roman" w:ascii="Times New Roman" w:hAnsi="Times New Roman"/>
          <w:i/>
          <w:sz w:val="24"/>
          <w:szCs w:val="24"/>
        </w:rPr>
        <w:t>the facilities used in the solidification of the waste,</w:t>
      </w:r>
    </w:p>
    <w:p>
      <w:pPr>
        <w:pStyle w:val="ListParagraph"/>
        <w:numPr>
          <w:ilvl w:val="0"/>
          <w:numId w:val="1"/>
        </w:numPr>
        <w:spacing w:lineRule="auto" w:line="240" w:before="0" w:after="0"/>
        <w:rPr>
          <w:rFonts w:ascii="Times New Roman" w:hAnsi="Times New Roman" w:cs="Times New Roman"/>
          <w:i/>
          <w:i/>
          <w:sz w:val="24"/>
          <w:szCs w:val="24"/>
        </w:rPr>
      </w:pPr>
      <w:r>
        <w:rPr>
          <w:rFonts w:cs="Times New Roman" w:ascii="Times New Roman" w:hAnsi="Times New Roman"/>
          <w:i/>
          <w:sz w:val="24"/>
          <w:szCs w:val="24"/>
        </w:rPr>
        <w:t xml:space="preserve">any material used in conjunction with the project, </w:t>
      </w:r>
    </w:p>
    <w:p>
      <w:pPr>
        <w:pStyle w:val="Normal"/>
        <w:ind w:left="720" w:hanging="0"/>
        <w:rPr>
          <w:rFonts w:ascii="Times New Roman" w:hAnsi="Times New Roman" w:cs="Times New Roman"/>
          <w:i/>
          <w:i/>
          <w:sz w:val="24"/>
          <w:szCs w:val="24"/>
        </w:rPr>
      </w:pPr>
      <w:r>
        <w:rPr>
          <w:rFonts w:cs="Times New Roman" w:ascii="Times New Roman" w:hAnsi="Times New Roman"/>
          <w:i/>
          <w:sz w:val="24"/>
          <w:szCs w:val="24"/>
        </w:rPr>
        <w:t>in accordance with such requirements as the Commission may prescribe.”</w:t>
      </w:r>
    </w:p>
    <w:p>
      <w:pPr>
        <w:pStyle w:val="Normal"/>
        <w:rPr>
          <w:rFonts w:ascii="Times New Roman" w:hAnsi="Times New Roman" w:cs="Times New Roman"/>
          <w:sz w:val="24"/>
          <w:szCs w:val="24"/>
        </w:rPr>
      </w:pPr>
      <w:r>
        <w:rPr>
          <w:rFonts w:cs="Times New Roman" w:ascii="Times New Roman" w:hAnsi="Times New Roman"/>
          <w:sz w:val="24"/>
          <w:szCs w:val="24"/>
        </w:rPr>
        <w:t>The Secretary refers to the Secretary of Energy. The Commission refers to the Nuclear Regulatory Commission.</w:t>
      </w:r>
    </w:p>
    <w:p>
      <w:pPr>
        <w:pStyle w:val="Normal"/>
        <w:rPr>
          <w:rFonts w:ascii="Times New Roman" w:hAnsi="Times New Roman" w:cs="Times New Roman"/>
          <w:sz w:val="24"/>
          <w:szCs w:val="24"/>
        </w:rPr>
      </w:pPr>
      <w:r>
        <w:rPr>
          <w:rFonts w:cs="Times New Roman" w:ascii="Times New Roman" w:hAnsi="Times New Roman"/>
          <w:sz w:val="24"/>
          <w:szCs w:val="24"/>
        </w:rPr>
        <w:t xml:space="preserve">Other items address the solidification or vitrification of the high level waste and its containerization. Finally permanent disposal in an appropriate Federal repository for permanent disposal is required. </w:t>
      </w:r>
    </w:p>
    <w:p>
      <w:pPr>
        <w:pStyle w:val="Normal"/>
        <w:ind w:left="360" w:hanging="0"/>
        <w:rPr>
          <w:rFonts w:ascii="Times New Roman" w:hAnsi="Times New Roman" w:cs="Times New Roman"/>
          <w:i/>
          <w:i/>
          <w:sz w:val="24"/>
          <w:szCs w:val="24"/>
        </w:rPr>
      </w:pPr>
      <w:r>
        <w:rPr>
          <w:rFonts w:cs="Times New Roman" w:ascii="Times New Roman" w:hAnsi="Times New Roman"/>
          <w:i/>
          <w:sz w:val="24"/>
          <w:szCs w:val="24"/>
        </w:rPr>
        <w:t>“</w:t>
      </w:r>
      <w:r>
        <w:rPr>
          <w:rFonts w:cs="Times New Roman" w:ascii="Times New Roman" w:hAnsi="Times New Roman"/>
          <w:i/>
          <w:sz w:val="24"/>
          <w:szCs w:val="24"/>
        </w:rPr>
        <w:t xml:space="preserve">3) The Secretary shall as soon as feasible, transport, in accordance with applicable provisions of law, the wastes solidified at the Center to an appropriate Federal repository for permanent disposal.”  </w:t>
      </w:r>
    </w:p>
    <w:p>
      <w:pPr>
        <w:pStyle w:val="Normal"/>
        <w:rPr>
          <w:rFonts w:ascii="Times New Roman" w:hAnsi="Times New Roman" w:cs="Times New Roman"/>
          <w:sz w:val="24"/>
          <w:szCs w:val="24"/>
        </w:rPr>
      </w:pPr>
      <w:r>
        <w:rPr>
          <w:rFonts w:cs="Times New Roman" w:ascii="Times New Roman" w:hAnsi="Times New Roman"/>
          <w:sz w:val="24"/>
          <w:szCs w:val="24"/>
        </w:rPr>
        <w:t xml:space="preserve">Under the WVDP Act, the Nuclear Regulatory Commission has a major role in reviewing the plan and health and safety issues. In addition, several other agencies are to be consulted – EPA, DOT, and the Geological Survey. </w:t>
      </w:r>
    </w:p>
    <w:p>
      <w:pPr>
        <w:pStyle w:val="Normal"/>
        <w:rPr>
          <w:rFonts w:ascii="Times New Roman" w:hAnsi="Times New Roman" w:cs="Times New Roman"/>
          <w:sz w:val="24"/>
          <w:szCs w:val="24"/>
        </w:rPr>
      </w:pPr>
      <w:r>
        <w:rPr>
          <w:rFonts w:cs="Times New Roman" w:ascii="Times New Roman" w:hAnsi="Times New Roman"/>
          <w:sz w:val="24"/>
          <w:szCs w:val="24"/>
        </w:rPr>
        <w:t>EPA sent a letter to Bryan Bower, Director of the West Valley Project for DOE on June 1, 2009 prior to the 2010 Final EIS stating  “It is the position of the EPA that certain radioactive wastes located at the site require a level of protection equivalent to that which would have been provided at a designated storage site for spent nuclear fuel and high- level waste.”</w:t>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sz w:val="24"/>
          <w:szCs w:val="24"/>
        </w:rPr>
      </w:pPr>
      <w:r>
        <w:rPr>
          <w:rFonts w:cs="Times New Roman" w:ascii="Times New Roman" w:hAnsi="Times New Roman"/>
          <w:b/>
          <w:sz w:val="24"/>
          <w:szCs w:val="24"/>
        </w:rPr>
        <w:t>Conclusion:</w:t>
      </w:r>
      <w:r>
        <w:rPr>
          <w:rFonts w:cs="Times New Roman" w:ascii="Times New Roman" w:hAnsi="Times New Roman"/>
          <w:sz w:val="24"/>
          <w:szCs w:val="24"/>
        </w:rPr>
        <w:t xml:space="preserve"> Therefore the proposal presented in the Oct. 10, 2018 Federal Register Notice by the DOE concerning changing its interpretation of High Level Radioactive Waste is not applicable to West Valley. The West Valley Demonstration Project Act governs the situation at West Valley. DOE does not have the authority to reinterpret the definition of high level waste in the WVDP Act.</w:t>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sz w:val="24"/>
          <w:szCs w:val="24"/>
        </w:rPr>
      </w:pPr>
      <w:r>
        <w:rPr>
          <w:rFonts w:cs="Times New Roman" w:ascii="Times New Roman" w:hAnsi="Times New Roman"/>
          <w:b/>
          <w:sz w:val="24"/>
          <w:szCs w:val="24"/>
        </w:rPr>
        <w:t>It should also be noted that damaged spent nuclear fuel was sent to West Valley for reprocessing, but because it was damaged, it was disposed instead –</w:t>
      </w:r>
      <w:r>
        <w:rPr>
          <w:rFonts w:cs="Times New Roman" w:ascii="Times New Roman" w:hAnsi="Times New Roman"/>
          <w:sz w:val="24"/>
          <w:szCs w:val="24"/>
        </w:rPr>
        <w:t xml:space="preserve"> some went to the NRC Disposal Area and some was buried in the State Disposal Area. Irradiated spent nuclear fuel is high level waste and highly radioactive.</w:t>
      </w:r>
    </w:p>
    <w:p>
      <w:pPr>
        <w:pStyle w:val="Normal"/>
        <w:rPr>
          <w:rFonts w:ascii="Times New Roman" w:hAnsi="Times New Roman" w:cs="Times New Roman"/>
          <w:b/>
          <w:b/>
          <w:sz w:val="24"/>
          <w:szCs w:val="24"/>
        </w:rPr>
      </w:pPr>
      <w:r>
        <w:rPr>
          <w:rFonts w:cs="Times New Roman" w:ascii="Times New Roman" w:hAnsi="Times New Roman"/>
          <w:b/>
          <w:sz w:val="24"/>
          <w:szCs w:val="24"/>
        </w:rPr>
        <w:t xml:space="preserve">Issue #2 The High Level Waste that was created through Reprocessing at West Valley was generated primarily from Defense and Military activities, and the plutonium and uranium products were later supplied to Defense Facilities. </w:t>
      </w:r>
    </w:p>
    <w:p>
      <w:pPr>
        <w:pStyle w:val="Normal"/>
        <w:rPr>
          <w:rFonts w:ascii="Times New Roman" w:hAnsi="Times New Roman" w:cs="Times New Roman"/>
          <w:sz w:val="24"/>
          <w:szCs w:val="24"/>
        </w:rPr>
      </w:pPr>
      <w:r>
        <w:rPr>
          <w:rFonts w:cs="Times New Roman" w:ascii="Times New Roman" w:hAnsi="Times New Roman"/>
          <w:sz w:val="24"/>
          <w:szCs w:val="24"/>
        </w:rPr>
        <w:t xml:space="preserve">Unfortunately, this Federal Register notice makes two oblique references to West Valley. The first refers to “a demonstration of commercial SNF processing.” The second refers only to “the liquid wastes that have been immobilized in solid form and stored at SRS, INL and the West Valley demonstration project.”  </w:t>
      </w:r>
    </w:p>
    <w:p>
      <w:pPr>
        <w:pStyle w:val="Normal"/>
        <w:ind w:hanging="360"/>
        <w:rPr>
          <w:rFonts w:ascii="Times New Roman" w:hAnsi="Times New Roman" w:cs="Times New Roman"/>
          <w:sz w:val="24"/>
          <w:szCs w:val="24"/>
        </w:rPr>
      </w:pPr>
      <w:r>
        <w:rPr>
          <w:rFonts w:cs="Times New Roman" w:ascii="Times New Roman" w:hAnsi="Times New Roman"/>
          <w:sz w:val="24"/>
          <w:szCs w:val="24"/>
        </w:rPr>
        <w:tab/>
        <w:t xml:space="preserve">The Atomic Energy Commission was promoting its “Atoms for Peace” program and wanted to launch a separate entity from the government to operate a commercial reprocessing facility to support the nuclear power reactors it envisioned for the future. However, given the fact that reactors were just being built, in order to demonstrate the feasibility of commercial reprocessing the AEC needed to supply nuclear waste primarily from the defense establishment.  </w:t>
      </w:r>
    </w:p>
    <w:p>
      <w:pPr>
        <w:pStyle w:val="Normal"/>
        <w:rPr>
          <w:rFonts w:ascii="Times New Roman" w:hAnsi="Times New Roman" w:cs="Times New Roman"/>
          <w:sz w:val="24"/>
          <w:szCs w:val="24"/>
        </w:rPr>
      </w:pPr>
      <w:r>
        <w:rPr>
          <w:rFonts w:cs="Times New Roman" w:ascii="Times New Roman" w:hAnsi="Times New Roman"/>
          <w:sz w:val="24"/>
          <w:szCs w:val="24"/>
        </w:rPr>
        <w:t xml:space="preserve">Unfortunately DOE continues to ignore these facts and relies on the original objective – demonstration of commercial reprocessing—to support its claim that the HLW is not defense or military waste. </w:t>
      </w:r>
    </w:p>
    <w:p>
      <w:pPr>
        <w:pStyle w:val="Normal"/>
        <w:rPr>
          <w:rFonts w:ascii="Times New Roman" w:hAnsi="Times New Roman" w:cs="Times New Roman"/>
          <w:sz w:val="24"/>
          <w:szCs w:val="24"/>
        </w:rPr>
      </w:pPr>
      <w:r>
        <w:rPr>
          <w:rFonts w:cs="Times New Roman" w:ascii="Times New Roman" w:hAnsi="Times New Roman"/>
          <w:sz w:val="24"/>
          <w:szCs w:val="24"/>
        </w:rPr>
        <w:t xml:space="preserve">The simplest statement of the history appears in a letter to Secretary of Energy, Ernest Moniz, October 28, 2016 from Senator Gillibrand and 13 NYS Members of Congress, in which they sought to correct the historical misclassification of the waste at West Valley as commercial. The bipartisan letter noted that in assigning 90% of the cleanup costs at West Valley to DOE in the 1980 West Valley Demonstration Project Act was an acknowledgement of the facility’s role in reprocessing defense waste.  The Congressional letter is attached to these comments. </w:t>
      </w:r>
    </w:p>
    <w:p>
      <w:pPr>
        <w:pStyle w:val="Default"/>
        <w:rPr>
          <w:sz w:val="23"/>
          <w:szCs w:val="23"/>
        </w:rPr>
      </w:pPr>
      <w:r>
        <w:rPr/>
        <w:t xml:space="preserve">The New York State agency responsible for the West Valley Nuclear Service Center, NYSERDA, the NYS Energy Research &amp; Development Authority provided a more detailed response regarding the designation of HLW in response to DOE’s  </w:t>
      </w:r>
      <w:r>
        <w:rPr>
          <w:sz w:val="23"/>
          <w:szCs w:val="23"/>
        </w:rPr>
        <w:t xml:space="preserve">“Invitation for Public Comment to Inform the Design of a Consent-Based Siting Process for Nuclear Waste Storage and Disposal Facilities,” </w:t>
      </w:r>
      <w:r>
        <w:rPr>
          <w:rStyle w:val="FootnoteAnchor"/>
          <w:sz w:val="23"/>
          <w:szCs w:val="23"/>
        </w:rPr>
        <w:footnoteReference w:id="5"/>
      </w:r>
    </w:p>
    <w:p>
      <w:pPr>
        <w:pStyle w:val="Default"/>
        <w:rPr>
          <w:sz w:val="23"/>
          <w:szCs w:val="23"/>
        </w:rPr>
      </w:pPr>
      <w:r>
        <w:rPr>
          <w:sz w:val="23"/>
          <w:szCs w:val="23"/>
        </w:rPr>
      </w:r>
    </w:p>
    <w:p>
      <w:pPr>
        <w:pStyle w:val="Default"/>
        <w:rPr/>
      </w:pPr>
      <w:r>
        <w:rPr/>
        <w:t xml:space="preserve">New York State’s position is that West Valley HLW resulted “from atomic energy defense activities” as defined in the Nuclear Waste Policy Act (NWPA) – </w:t>
      </w:r>
      <w:r>
        <w:rPr>
          <w:i/>
          <w:iCs/>
        </w:rPr>
        <w:t xml:space="preserve">i.e., </w:t>
      </w:r>
      <w:r>
        <w:rPr/>
        <w:t>it is “defense waste” – and is therefore eligible for disposal in a federal defense waste repository.</w:t>
      </w:r>
    </w:p>
    <w:p>
      <w:pPr>
        <w:pStyle w:val="Default"/>
        <w:rPr/>
      </w:pPr>
      <w:r>
        <w:rPr/>
      </w:r>
    </w:p>
    <w:p>
      <w:pPr>
        <w:pStyle w:val="Default"/>
        <w:rPr/>
      </w:pPr>
      <w:r>
        <w:rPr/>
        <w:t xml:space="preserve">The AEC was contemplating more stringent regulations for the reprocessing facility after the private operator had significantly contaminated the site. The cost of the new regulations provided an incentive for Nuclear Fuel Services (NFS) to abandon the project in 1972 after only 6 years of operation. </w:t>
      </w:r>
    </w:p>
    <w:p>
      <w:pPr>
        <w:pStyle w:val="Default"/>
        <w:rPr>
          <w:sz w:val="23"/>
          <w:szCs w:val="23"/>
        </w:rPr>
      </w:pPr>
      <w:r>
        <w:rPr>
          <w:sz w:val="23"/>
          <w:szCs w:val="23"/>
        </w:rPr>
      </w:r>
    </w:p>
    <w:p>
      <w:pPr>
        <w:pStyle w:val="Default"/>
        <w:rPr/>
      </w:pPr>
      <w:r>
        <w:rPr/>
        <w:t>“</w:t>
      </w:r>
      <w:r>
        <w:rPr/>
        <w:t>During Congressional deliberations that followed the NFS announcement, the West Valley site was recognized as “an artifact” of a premature federal program.</w:t>
      </w:r>
      <w:r>
        <w:rPr>
          <w:rStyle w:val="FootnoteAnchor"/>
        </w:rPr>
        <w:footnoteReference w:id="6"/>
      </w:r>
      <w:r>
        <w:rPr/>
        <w:t xml:space="preserve">  In fact, by the time the federal government’s new policy on the solidification and shipment of reprocessing wastes was fully developed in 1971, 600,000 gallons of liquid HLW had already been placed in long-term storage in West Valley’s underground tanks.</w:t>
      </w:r>
      <w:r>
        <w:rPr>
          <w:rStyle w:val="FootnoteAnchor"/>
        </w:rPr>
        <w:footnoteReference w:id="7"/>
      </w:r>
      <w:r>
        <w:rPr/>
        <w:t xml:space="preserve">  Had the federal government established its national policy regarding reprocessing facilities and wastes prior to the design, construction and operation of the West Valley facility, the design of the plant would likely have been “altered considerably.” </w:t>
      </w:r>
      <w:r>
        <w:rPr>
          <w:rStyle w:val="FootnoteAnchor"/>
        </w:rPr>
        <w:footnoteReference w:id="8"/>
      </w:r>
      <w:r>
        <w:rPr/>
        <w:t xml:space="preserve"> </w:t>
      </w:r>
    </w:p>
    <w:p>
      <w:pPr>
        <w:pStyle w:val="Default"/>
        <w:rPr/>
      </w:pPr>
      <w:r>
        <w:rPr/>
      </w:r>
    </w:p>
    <w:p>
      <w:pPr>
        <w:pStyle w:val="Default"/>
        <w:rPr/>
      </w:pPr>
      <w:r>
        <w:rPr/>
        <w:t>NYSERDA comments regarding the Consent- based Siting process provide numerous references to DOE statements and Congressional intent to classify HLW associated with Reprocessing at West Valley as defense waste.  One example is below.</w:t>
      </w:r>
    </w:p>
    <w:p>
      <w:pPr>
        <w:pStyle w:val="Default"/>
        <w:rPr/>
      </w:pPr>
      <w:r>
        <w:rPr/>
      </w:r>
    </w:p>
    <w:p>
      <w:pPr>
        <w:pStyle w:val="Default"/>
        <w:rPr/>
      </w:pPr>
      <w:r>
        <w:rPr/>
        <w:t>“</w:t>
      </w:r>
      <w:r>
        <w:rPr/>
        <w:t xml:space="preserve">The Committee recognizes that a substantial quantity of this waste was produced in the course of fulfilling contracts with the Atomic Energy Commission and that most of such contracts were related to the military program. Because of the extensive past Federal involvement, the Committee is willing to have the government pay 90 percent of the cost of the project.” </w:t>
      </w:r>
      <w:r>
        <w:rPr>
          <w:rStyle w:val="FootnoteAnchor"/>
        </w:rPr>
        <w:footnoteReference w:id="9"/>
      </w:r>
      <w:r>
        <w:rPr/>
        <w:t xml:space="preserve"> </w:t>
      </w:r>
    </w:p>
    <w:p>
      <w:pPr>
        <w:pStyle w:val="Normal"/>
        <w:ind w:left="360" w:hanging="360"/>
        <w:rPr>
          <w:rFonts w:ascii="Times New Roman" w:hAnsi="Times New Roman" w:cs="Times New Roman"/>
          <w:sz w:val="24"/>
          <w:szCs w:val="24"/>
        </w:rPr>
      </w:pPr>
      <w:r>
        <w:rPr>
          <w:rFonts w:cs="Times New Roman" w:ascii="Times New Roman" w:hAnsi="Times New Roman"/>
          <w:sz w:val="24"/>
          <w:szCs w:val="24"/>
        </w:rPr>
        <w:tab/>
      </w:r>
    </w:p>
    <w:p>
      <w:pPr>
        <w:pStyle w:val="Normal"/>
        <w:shd w:val="clear" w:color="auto" w:fill="FFFFFF"/>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rPr>
          <w:rFonts w:ascii="Times New Roman" w:hAnsi="Times New Roman" w:eastAsia="Times New Roman" w:cs="Times New Roman"/>
          <w:b/>
          <w:b/>
          <w:color w:val="333333"/>
          <w:sz w:val="24"/>
          <w:szCs w:val="24"/>
        </w:rPr>
      </w:pPr>
      <w:r>
        <w:rPr>
          <w:rFonts w:eastAsia="Times New Roman" w:cs="Times New Roman" w:ascii="Times New Roman" w:hAnsi="Times New Roman"/>
          <w:b/>
          <w:color w:val="333333"/>
          <w:sz w:val="24"/>
          <w:szCs w:val="24"/>
        </w:rPr>
        <w:t>Issue #3 The West Valley site does not meet the siting standards in 10 CFR 61 and as a consequence, it can also never meet the performance objectives of 10 CFR 61 Subpart C.</w:t>
      </w:r>
    </w:p>
    <w:p>
      <w:pPr>
        <w:pStyle w:val="Normal"/>
        <w:shd w:val="clear" w:color="auto" w:fill="FFFFFF"/>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rPr>
          <w:rFonts w:ascii="Times New Roman" w:hAnsi="Times New Roman" w:eastAsia="Times New Roman" w:cs="Times New Roman"/>
          <w:b/>
          <w:b/>
          <w:color w:val="333333"/>
          <w:sz w:val="24"/>
          <w:szCs w:val="24"/>
        </w:rPr>
      </w:pPr>
      <w:r>
        <w:rPr>
          <w:rFonts w:eastAsia="Times New Roman" w:cs="Times New Roman" w:ascii="Times New Roman" w:hAnsi="Times New Roman"/>
          <w:b/>
          <w:color w:val="333333"/>
          <w:sz w:val="24"/>
          <w:szCs w:val="24"/>
        </w:rPr>
      </w:r>
    </w:p>
    <w:p>
      <w:pPr>
        <w:pStyle w:val="Normal"/>
        <w:shd w:val="clear" w:color="auto" w:fill="FFFFFF"/>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rPr>
          <w:rFonts w:ascii="Times New Roman" w:hAnsi="Times New Roman" w:eastAsia="Times New Roman" w:cs="Times New Roman"/>
          <w:color w:val="333333"/>
          <w:sz w:val="24"/>
          <w:szCs w:val="24"/>
        </w:rPr>
      </w:pPr>
      <w:r>
        <w:rPr>
          <w:rFonts w:eastAsia="Times New Roman" w:cs="Times New Roman" w:ascii="Times New Roman" w:hAnsi="Times New Roman"/>
          <w:color w:val="333333"/>
          <w:sz w:val="24"/>
          <w:szCs w:val="24"/>
        </w:rPr>
        <w:t xml:space="preserve">The West Valley site was chosen prior to the existence of any siting standards for nuclear waste facilities. The siting standards in 10 CFR 61 were developed after the Reprocessing facility was built and disposal facilities planned. </w:t>
      </w:r>
    </w:p>
    <w:p>
      <w:pPr>
        <w:pStyle w:val="Normal"/>
        <w:shd w:val="clear" w:color="auto" w:fill="FFFFFF"/>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rPr>
          <w:rFonts w:ascii="Times New Roman" w:hAnsi="Times New Roman" w:eastAsia="Times New Roman" w:cs="Times New Roman"/>
          <w:color w:val="333333"/>
          <w:sz w:val="24"/>
          <w:szCs w:val="24"/>
        </w:rPr>
      </w:pPr>
      <w:r>
        <w:rPr>
          <w:rFonts w:eastAsia="Times New Roman" w:cs="Times New Roman" w:ascii="Times New Roman" w:hAnsi="Times New Roman"/>
          <w:color w:val="333333"/>
          <w:sz w:val="24"/>
          <w:szCs w:val="24"/>
        </w:rPr>
      </w:r>
    </w:p>
    <w:p>
      <w:pPr>
        <w:pStyle w:val="Normal"/>
        <w:rPr>
          <w:rFonts w:ascii="Times New Roman" w:hAnsi="Times New Roman" w:eastAsia="Times New Roman" w:cs="Times New Roman"/>
          <w:b/>
          <w:b/>
          <w:color w:val="333333"/>
          <w:sz w:val="24"/>
          <w:szCs w:val="24"/>
        </w:rPr>
      </w:pPr>
      <w:r>
        <w:rPr>
          <w:rFonts w:eastAsia="Times New Roman" w:cs="Times New Roman" w:ascii="Times New Roman" w:hAnsi="Times New Roman"/>
          <w:b/>
          <w:color w:val="333333"/>
          <w:sz w:val="24"/>
          <w:szCs w:val="24"/>
        </w:rPr>
        <w:t>The Fundamental Problems the West Valley site has related to 10 CFR 61</w:t>
      </w:r>
    </w:p>
    <w:p>
      <w:pPr>
        <w:pStyle w:val="Normal"/>
        <w:rPr>
          <w:rFonts w:ascii="Times New Roman" w:hAnsi="Times New Roman" w:eastAsia="Times New Roman" w:cs="Times New Roman"/>
          <w:color w:val="333333"/>
          <w:sz w:val="24"/>
          <w:szCs w:val="24"/>
        </w:rPr>
      </w:pPr>
      <w:r>
        <w:rPr>
          <w:rFonts w:eastAsia="Times New Roman" w:cs="Times New Roman" w:ascii="Times New Roman" w:hAnsi="Times New Roman"/>
          <w:color w:val="333333"/>
          <w:sz w:val="24"/>
          <w:szCs w:val="24"/>
        </w:rPr>
        <w:t xml:space="preserve">The West Valley site fails to meet siting standards under 10 CFR 61—standards for radioactive waste burial facilities. Yet its waste disposal facilities contain damaged irradiated spent nuclear fuel, high level waste, plutonium and transuranic waste. The High Level Waste Tanks have also reached the end of their useful lives. </w:t>
      </w:r>
    </w:p>
    <w:p>
      <w:pPr>
        <w:pStyle w:val="Normal"/>
        <w:rPr>
          <w:rFonts w:ascii="Times New Roman" w:hAnsi="Times New Roman" w:eastAsia="Times New Roman" w:cs="Times New Roman"/>
          <w:b/>
          <w:b/>
          <w:color w:val="333333"/>
          <w:sz w:val="24"/>
          <w:szCs w:val="24"/>
        </w:rPr>
      </w:pPr>
      <w:r>
        <w:rPr>
          <w:rFonts w:eastAsia="Times New Roman" w:cs="Times New Roman" w:ascii="Times New Roman" w:hAnsi="Times New Roman"/>
          <w:b/>
          <w:color w:val="333333"/>
          <w:sz w:val="24"/>
          <w:szCs w:val="24"/>
        </w:rPr>
        <w:t>Applicable regulations under 10 CFR 61 are italicized below:</w:t>
      </w:r>
    </w:p>
    <w:p>
      <w:pPr>
        <w:pStyle w:val="Heading2"/>
        <w:pBdr>
          <w:top w:val="single" w:sz="6" w:space="4" w:color="E9E9EA"/>
          <w:left w:val="single" w:sz="2" w:space="0" w:color="E9E9EA"/>
          <w:bottom w:val="single" w:sz="6" w:space="2" w:color="E9E9EA"/>
          <w:right w:val="single" w:sz="2" w:space="0" w:color="E9E9EA"/>
        </w:pBdr>
        <w:shd w:val="clear" w:color="auto" w:fill="FFFFFF"/>
        <w:spacing w:lineRule="atLeast" w:line="312" w:beforeAutospacing="0" w:before="0" w:afterAutospacing="0" w:after="120"/>
        <w:rPr>
          <w:i/>
          <w:i/>
          <w:sz w:val="24"/>
          <w:szCs w:val="24"/>
        </w:rPr>
      </w:pPr>
      <w:r>
        <w:rPr>
          <w:i/>
          <w:sz w:val="24"/>
          <w:szCs w:val="24"/>
        </w:rPr>
        <w:t>§ 61.50 Disposal site suitability requirements for land disposal.</w:t>
      </w:r>
    </w:p>
    <w:p>
      <w:pPr>
        <w:pStyle w:val="Normal"/>
        <w:rPr>
          <w:rFonts w:ascii="Times New Roman" w:hAnsi="Times New Roman" w:cs="Times New Roman"/>
          <w:i/>
          <w:i/>
          <w:sz w:val="24"/>
          <w:szCs w:val="24"/>
        </w:rPr>
      </w:pPr>
      <w:r>
        <w:rPr>
          <w:rFonts w:eastAsia="Times New Roman" w:cs="Times New Roman" w:ascii="Times New Roman" w:hAnsi="Times New Roman"/>
          <w:i/>
          <w:color w:val="333333"/>
          <w:sz w:val="24"/>
          <w:szCs w:val="24"/>
        </w:rPr>
        <w:t>a)</w:t>
      </w:r>
      <w:r>
        <w:rPr>
          <w:rFonts w:cs="Times New Roman" w:ascii="Times New Roman" w:hAnsi="Times New Roman"/>
          <w:i/>
          <w:color w:val="333333"/>
          <w:sz w:val="24"/>
          <w:szCs w:val="24"/>
          <w:shd w:fill="FFFFFF" w:val="clear"/>
        </w:rPr>
        <w:t xml:space="preserve"> Disposal site suitability for near-surface disposal. (1) The purpose of this section is to specify the minimum characteristics a disposal site must have to be acceptable for use as a near-surface disposal facility. The primary emphasis in disposal site suitability is given to isolation of wastes, a matter having long-term impacts, and to disposal site features that ensure that the long-term performance objectives of subpart C of this part are met, as opposed to short-term convenience or benefits.</w:t>
      </w:r>
    </w:p>
    <w:p>
      <w:pPr>
        <w:pStyle w:val="NormalWeb"/>
        <w:shd w:val="clear" w:color="auto" w:fill="FFFFFF"/>
        <w:spacing w:beforeAutospacing="0" w:before="0" w:afterAutospacing="0" w:after="0"/>
        <w:rPr>
          <w:color w:val="333333"/>
        </w:rPr>
      </w:pPr>
      <w:r>
        <w:rPr>
          <w:color w:val="333333"/>
        </w:rPr>
        <w:t>Here we have selected those provisions which would likely have prohibited the siting of a nuclear processing facility and radioactive burial grounds at the West Valley site if they had been in place at the time. Numbered items are from 10 CFR 61.50</w:t>
      </w:r>
    </w:p>
    <w:p>
      <w:pPr>
        <w:pStyle w:val="NormalWeb"/>
        <w:shd w:val="clear" w:color="auto" w:fill="FFFFFF"/>
        <w:spacing w:beforeAutospacing="0" w:before="0" w:afterAutospacing="0" w:after="0"/>
        <w:rPr>
          <w:color w:val="333333"/>
        </w:rPr>
      </w:pPr>
      <w:r>
        <w:rPr>
          <w:color w:val="333333"/>
        </w:rPr>
      </w:r>
    </w:p>
    <w:p>
      <w:pPr>
        <w:pStyle w:val="NormalWeb"/>
        <w:shd w:val="clear" w:color="auto" w:fill="FFFFFF"/>
        <w:spacing w:beforeAutospacing="0" w:before="0" w:afterAutospacing="0" w:after="0"/>
        <w:rPr>
          <w:i/>
          <w:i/>
          <w:color w:val="333333"/>
        </w:rPr>
      </w:pPr>
      <w:r>
        <w:rPr>
          <w:i/>
          <w:color w:val="333333"/>
        </w:rPr>
        <w:t>(4) Areas must be avoided having known natural resources which, if exploited, would result in failure to meet the performance objectives of subpart C of this part.</w:t>
      </w:r>
    </w:p>
    <w:p>
      <w:pPr>
        <w:pStyle w:val="NormalWeb"/>
        <w:shd w:val="clear" w:color="auto" w:fill="FFFFFF"/>
        <w:spacing w:beforeAutospacing="0" w:before="0" w:afterAutospacing="0" w:after="0"/>
        <w:rPr>
          <w:b/>
          <w:b/>
          <w:i/>
          <w:i/>
          <w:color w:val="333333"/>
        </w:rPr>
      </w:pPr>
      <w:r>
        <w:rPr>
          <w:b/>
          <w:i/>
          <w:color w:val="333333"/>
        </w:rPr>
      </w:r>
    </w:p>
    <w:p>
      <w:pPr>
        <w:pStyle w:val="NormalWeb"/>
        <w:shd w:val="clear" w:color="auto" w:fill="FFFFFF"/>
        <w:spacing w:beforeAutospacing="0" w:before="0" w:afterAutospacing="0" w:after="0"/>
        <w:rPr>
          <w:b/>
          <w:b/>
          <w:color w:val="333333"/>
        </w:rPr>
      </w:pPr>
      <w:r>
        <w:rPr>
          <w:b/>
          <w:color w:val="333333"/>
        </w:rPr>
        <w:t xml:space="preserve">Issue #3 a): The West Valley site is located over a sole source aquifer, designated by EPA. Numerous streams drain the site, join Cattaraugus Creek and travel through Seneca Nation Territory, emptying into Lake Erie. Radionuclides have been found in Lake Erie, Niagara River and Lake Ontario. </w:t>
      </w:r>
    </w:p>
    <w:p>
      <w:pPr>
        <w:pStyle w:val="NormalWeb"/>
        <w:shd w:val="clear" w:color="auto" w:fill="FFFFFF"/>
        <w:spacing w:beforeAutospacing="0" w:before="0" w:afterAutospacing="0" w:after="0"/>
        <w:rPr>
          <w:b/>
          <w:b/>
          <w:color w:val="333333"/>
        </w:rPr>
      </w:pPr>
      <w:r>
        <w:rPr>
          <w:b/>
          <w:color w:val="333333"/>
        </w:rPr>
      </w:r>
    </w:p>
    <w:p>
      <w:pPr>
        <w:pStyle w:val="NormalWeb"/>
        <w:shd w:val="clear" w:color="auto" w:fill="FFFFFF"/>
        <w:spacing w:beforeAutospacing="0" w:before="0" w:afterAutospacing="0" w:after="0"/>
        <w:rPr>
          <w:i/>
          <w:i/>
          <w:color w:val="333333"/>
        </w:rPr>
      </w:pPr>
      <w:r>
        <w:rPr>
          <w:i/>
          <w:color w:val="333333"/>
        </w:rPr>
        <w:t>(5) The disposal site must be generally well drained and free of areas of flooding or frequent ponding. Waste disposal shall not take place in a 100-year flood plain, coastal high-hazard area or wetland, as defined in Executive Order 11988, "Floodplain Management Guidelines."</w:t>
      </w:r>
    </w:p>
    <w:p>
      <w:pPr>
        <w:pStyle w:val="NormalWeb"/>
        <w:shd w:val="clear" w:color="auto" w:fill="FFFFFF"/>
        <w:spacing w:beforeAutospacing="0" w:before="0" w:afterAutospacing="0" w:after="0"/>
        <w:rPr>
          <w:i/>
          <w:i/>
          <w:color w:val="333333"/>
        </w:rPr>
      </w:pPr>
      <w:r>
        <w:rPr>
          <w:i/>
          <w:color w:val="333333"/>
        </w:rPr>
      </w:r>
    </w:p>
    <w:p>
      <w:pPr>
        <w:pStyle w:val="NormalWeb"/>
        <w:shd w:val="clear" w:color="auto" w:fill="FFFFFF"/>
        <w:spacing w:beforeAutospacing="0" w:before="0" w:afterAutospacing="0" w:after="0"/>
        <w:rPr>
          <w:b/>
          <w:b/>
          <w:color w:val="333333"/>
        </w:rPr>
      </w:pPr>
      <w:r>
        <w:rPr>
          <w:b/>
          <w:color w:val="333333"/>
        </w:rPr>
        <w:t xml:space="preserve">Issue #3 b): The West Valley site has multiple areas occupied by wetlands and the site is criss-crossed by multiple streams. Ponding has required interim measures at waste disposal facilities—the NRC Disposal Area and the State Disposal Area.  </w:t>
      </w:r>
    </w:p>
    <w:p>
      <w:pPr>
        <w:pStyle w:val="NormalWeb"/>
        <w:shd w:val="clear" w:color="auto" w:fill="FFFFFF"/>
        <w:spacing w:beforeAutospacing="0" w:before="0" w:afterAutospacing="0" w:after="0"/>
        <w:rPr>
          <w:color w:val="333333"/>
        </w:rPr>
      </w:pPr>
      <w:r>
        <w:rPr>
          <w:color w:val="333333"/>
        </w:rPr>
      </w:r>
    </w:p>
    <w:p>
      <w:pPr>
        <w:pStyle w:val="NormalWeb"/>
        <w:shd w:val="clear" w:color="auto" w:fill="FFFFFF"/>
        <w:spacing w:beforeAutospacing="0" w:before="0" w:afterAutospacing="0" w:after="0"/>
        <w:rPr>
          <w:i/>
          <w:i/>
          <w:color w:val="333333"/>
        </w:rPr>
      </w:pPr>
      <w:r>
        <w:rPr>
          <w:i/>
          <w:color w:val="333333"/>
        </w:rPr>
        <w:t>(6) Upstream drainage areas must be minimized to decrease the amount of runoff which could erode or inundate waste disposal units.</w:t>
      </w:r>
    </w:p>
    <w:p>
      <w:pPr>
        <w:pStyle w:val="NormalWeb"/>
        <w:shd w:val="clear" w:color="auto" w:fill="FFFFFF"/>
        <w:spacing w:beforeAutospacing="0" w:before="0" w:afterAutospacing="0" w:after="0"/>
        <w:rPr>
          <w:color w:val="333333"/>
        </w:rPr>
      </w:pPr>
      <w:r>
        <w:rPr>
          <w:color w:val="333333"/>
        </w:rPr>
      </w:r>
    </w:p>
    <w:p>
      <w:pPr>
        <w:pStyle w:val="NormalWeb"/>
        <w:shd w:val="clear" w:color="auto" w:fill="FFFFFF"/>
        <w:spacing w:beforeAutospacing="0" w:before="0" w:afterAutospacing="0" w:after="0"/>
        <w:rPr>
          <w:b/>
          <w:b/>
          <w:color w:val="333333"/>
        </w:rPr>
      </w:pPr>
      <w:r>
        <w:rPr>
          <w:b/>
          <w:color w:val="333333"/>
        </w:rPr>
        <w:t>Issue #3 c): The West Valley site streams receive waters from very large drainage areas, leading to inundation and overflow, exacerbating erosion.</w:t>
      </w:r>
    </w:p>
    <w:p>
      <w:pPr>
        <w:pStyle w:val="NormalWeb"/>
        <w:shd w:val="clear" w:color="auto" w:fill="FFFFFF"/>
        <w:spacing w:beforeAutospacing="0" w:before="0" w:afterAutospacing="0" w:after="0"/>
        <w:rPr>
          <w:color w:val="333333"/>
        </w:rPr>
      </w:pPr>
      <w:r>
        <w:rPr>
          <w:color w:val="333333"/>
        </w:rPr>
      </w:r>
    </w:p>
    <w:p>
      <w:pPr>
        <w:pStyle w:val="NormalWeb"/>
        <w:shd w:val="clear" w:color="auto" w:fill="FFFFFF"/>
        <w:spacing w:beforeAutospacing="0" w:before="0" w:afterAutospacing="0" w:after="0"/>
        <w:rPr>
          <w:i/>
          <w:i/>
          <w:color w:val="333333"/>
        </w:rPr>
      </w:pPr>
      <w:r>
        <w:rPr>
          <w:i/>
          <w:color w:val="333333"/>
        </w:rPr>
        <w:t>(8) The hydrogeologic unit used for disposal shall not discharge groundwater to the surface within the disposal site.</w:t>
      </w:r>
    </w:p>
    <w:p>
      <w:pPr>
        <w:pStyle w:val="NormalWeb"/>
        <w:shd w:val="clear" w:color="auto" w:fill="FFFFFF"/>
        <w:spacing w:beforeAutospacing="0" w:before="0" w:afterAutospacing="0" w:after="0"/>
        <w:rPr>
          <w:i/>
          <w:i/>
          <w:color w:val="333333"/>
        </w:rPr>
      </w:pPr>
      <w:r>
        <w:rPr>
          <w:i/>
          <w:color w:val="333333"/>
        </w:rPr>
      </w:r>
    </w:p>
    <w:p>
      <w:pPr>
        <w:pStyle w:val="NormalWeb"/>
        <w:shd w:val="clear" w:color="auto" w:fill="FFFFFF"/>
        <w:spacing w:beforeAutospacing="0" w:before="0" w:afterAutospacing="0" w:after="0"/>
        <w:rPr>
          <w:b/>
          <w:b/>
          <w:color w:val="333333"/>
        </w:rPr>
      </w:pPr>
      <w:r>
        <w:rPr>
          <w:b/>
          <w:color w:val="333333"/>
        </w:rPr>
        <w:t xml:space="preserve">Issue: #3 d): The site is located on high plateaus. Groundwater discharges to the sides of plateaus before entering local surface waters. </w:t>
      </w:r>
    </w:p>
    <w:p>
      <w:pPr>
        <w:pStyle w:val="NormalWeb"/>
        <w:shd w:val="clear" w:color="auto" w:fill="FFFFFF"/>
        <w:spacing w:beforeAutospacing="0" w:before="0" w:afterAutospacing="0" w:after="0"/>
        <w:rPr>
          <w:b/>
          <w:b/>
          <w:color w:val="333333"/>
        </w:rPr>
      </w:pPr>
      <w:r>
        <w:rPr>
          <w:b/>
          <w:color w:val="333333"/>
        </w:rPr>
      </w:r>
    </w:p>
    <w:p>
      <w:pPr>
        <w:pStyle w:val="NormalWeb"/>
        <w:shd w:val="clear" w:color="auto" w:fill="FFFFFF"/>
        <w:spacing w:beforeAutospacing="0" w:before="0" w:afterAutospacing="0" w:after="0"/>
        <w:rPr>
          <w:i/>
          <w:i/>
          <w:color w:val="333333"/>
        </w:rPr>
      </w:pPr>
      <w:r>
        <w:rPr>
          <w:i/>
          <w:color w:val="333333"/>
        </w:rPr>
        <w:t xml:space="preserve"> </w:t>
      </w:r>
      <w:r>
        <w:rPr>
          <w:i/>
          <w:color w:val="333333"/>
        </w:rPr>
        <w:t>(10) Areas must be avoided where surface geologic processes such as mass wasting, erosion, slumping, landsliding, or weathering occur with such frequency and extent to significantly affect the ability of the disposal site to meet the performance objectives of subpart C of this part, or may preclude defensible modeling and prediction of long-term impacts.</w:t>
      </w:r>
    </w:p>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Issue: #3 e) Erosion, mass wasting, slumping and land sliding are the most serious of the vulnerabilities of the West Valley site.</w:t>
      </w:r>
      <w:r>
        <w:rPr>
          <w:rFonts w:cs="Times New Roman" w:ascii="Times New Roman" w:hAnsi="Times New Roman"/>
          <w:sz w:val="24"/>
          <w:szCs w:val="24"/>
        </w:rPr>
        <w:t xml:space="preserve">  In 2009, a 5- inch rainfall in one hour resulted in the loss of 15-20 feet of the Buttermilk Valley wall – moving the Buttermilk Creek closer to buried radioactive waste.</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p>
    <w:p>
      <w:pPr>
        <w:pStyle w:val="Normal"/>
        <w:spacing w:lineRule="auto" w:line="240" w:before="0" w:after="0"/>
        <w:rPr>
          <w:rFonts w:ascii="Times New Roman" w:hAnsi="Times New Roman" w:cs="Times New Roman"/>
          <w:b/>
          <w:b/>
          <w:i/>
          <w:i/>
          <w:sz w:val="24"/>
          <w:szCs w:val="24"/>
        </w:rPr>
      </w:pPr>
      <w:r>
        <w:rPr>
          <w:rFonts w:cs="Times New Roman" w:ascii="Times New Roman" w:hAnsi="Times New Roman"/>
          <w:b/>
          <w:i/>
          <w:sz w:val="24"/>
          <w:szCs w:val="24"/>
        </w:rPr>
        <w:t>§ 61.51 Disposal site design for land disposal.</w:t>
      </w:r>
    </w:p>
    <w:p>
      <w:pPr>
        <w:pStyle w:val="Normal"/>
        <w:rPr>
          <w:rFonts w:ascii="Times New Roman" w:hAnsi="Times New Roman" w:cs="Times New Roman"/>
          <w:i/>
          <w:i/>
          <w:sz w:val="24"/>
          <w:szCs w:val="24"/>
        </w:rPr>
      </w:pPr>
      <w:r>
        <w:rPr>
          <w:rFonts w:cs="Times New Roman" w:ascii="Times New Roman" w:hAnsi="Times New Roman"/>
          <w:i/>
          <w:color w:val="333333"/>
          <w:sz w:val="24"/>
          <w:szCs w:val="24"/>
          <w:shd w:fill="FFFFFF" w:val="clear"/>
        </w:rPr>
        <w:t>(5) Surface features must direct surface water drainage away from disposal units at velocities and gradients which will not result in erosion that will require ongoing active maintenance in the future.</w:t>
      </w:r>
      <w:r>
        <w:rPr>
          <w:rFonts w:cs="Times New Roman" w:ascii="Times New Roman" w:hAnsi="Times New Roman"/>
          <w:i/>
          <w:sz w:val="24"/>
          <w:szCs w:val="24"/>
        </w:rPr>
        <w:t xml:space="preserve">   (from § 61.51)</w:t>
      </w:r>
    </w:p>
    <w:p>
      <w:pPr>
        <w:pStyle w:val="Normal"/>
        <w:rPr>
          <w:rFonts w:ascii="Times New Roman" w:hAnsi="Times New Roman" w:cs="Times New Roman"/>
          <w:sz w:val="24"/>
          <w:szCs w:val="24"/>
        </w:rPr>
      </w:pPr>
      <w:r>
        <w:rPr>
          <w:rFonts w:cs="Times New Roman" w:ascii="Times New Roman" w:hAnsi="Times New Roman"/>
          <w:b/>
          <w:sz w:val="24"/>
          <w:szCs w:val="24"/>
        </w:rPr>
        <w:t>Issue: #3 f): Extensive engineering work was conducted following the 2009 storm to protect disposal areas from further erosion, at a cost of $1.5 million dollars.</w:t>
      </w:r>
      <w:r>
        <w:rPr>
          <w:rFonts w:cs="Times New Roman" w:ascii="Times New Roman" w:hAnsi="Times New Roman"/>
          <w:sz w:val="24"/>
          <w:szCs w:val="24"/>
        </w:rPr>
        <w:t xml:space="preserve"> Regular monitoring and annual engineering improvements have been required just to maintain disposal facilities and prevent further erosion. The State Disposal area is surrounded by gullies on the Creek side to the North. </w:t>
      </w:r>
    </w:p>
    <w:p>
      <w:pPr>
        <w:pStyle w:val="Heading1"/>
        <w:shd w:val="clear" w:color="auto" w:fill="FFFFFF"/>
        <w:spacing w:lineRule="atLeast" w:line="288" w:before="0" w:after="160"/>
        <w:rPr>
          <w:rFonts w:ascii="Times New Roman" w:hAnsi="Times New Roman" w:cs="Times New Roman"/>
          <w:b/>
          <w:b/>
          <w:i/>
          <w:i/>
          <w:color w:val="00000A"/>
          <w:sz w:val="24"/>
          <w:szCs w:val="24"/>
        </w:rPr>
      </w:pPr>
      <w:r>
        <w:rPr>
          <w:rFonts w:cs="Times New Roman" w:ascii="Times New Roman" w:hAnsi="Times New Roman"/>
          <w:b/>
          <w:i/>
          <w:color w:val="00000A"/>
          <w:sz w:val="24"/>
          <w:szCs w:val="24"/>
        </w:rPr>
        <w:t>§ 61.53 Environmental monitoring</w:t>
      </w:r>
    </w:p>
    <w:p>
      <w:pPr>
        <w:pStyle w:val="NormalWeb"/>
        <w:shd w:val="clear" w:color="auto" w:fill="FFFFFF"/>
        <w:spacing w:beforeAutospacing="0" w:before="0" w:afterAutospacing="0" w:after="0"/>
        <w:rPr>
          <w:i/>
          <w:i/>
          <w:color w:val="333333"/>
        </w:rPr>
      </w:pPr>
      <w:r>
        <w:rPr>
          <w:i/>
          <w:color w:val="333333"/>
        </w:rPr>
      </w:r>
    </w:p>
    <w:p>
      <w:pPr>
        <w:pStyle w:val="NormalWeb"/>
        <w:numPr>
          <w:ilvl w:val="0"/>
          <w:numId w:val="2"/>
        </w:numPr>
        <w:shd w:val="clear" w:color="auto" w:fill="FFFFFF"/>
        <w:spacing w:beforeAutospacing="0" w:before="0" w:afterAutospacing="0" w:after="0"/>
        <w:ind w:left="360" w:hanging="360"/>
        <w:rPr>
          <w:i/>
          <w:i/>
          <w:color w:val="333333"/>
        </w:rPr>
      </w:pPr>
      <w:r>
        <w:rPr>
          <w:i/>
          <w:color w:val="333333"/>
        </w:rPr>
        <w:t xml:space="preserve">At the time a license application is submitted, the applicant shall have conducted a preoperational monitoring program to provide basic environmental data on the disposal site characteristics. The applicant shall obtain information about the ecology, meteorology, climate, hydrology, geology, geochemistry, and seismology of the disposal site. For those characteristics that are subject to seasonal variation, data must cover at least a twelve month period.(from </w:t>
      </w:r>
      <w:r>
        <w:rPr>
          <w:i/>
        </w:rPr>
        <w:t>§ 61.53)</w:t>
      </w:r>
    </w:p>
    <w:p>
      <w:pPr>
        <w:pStyle w:val="NormalWeb"/>
        <w:shd w:val="clear" w:color="auto" w:fill="FFFFFF"/>
        <w:spacing w:beforeAutospacing="0" w:before="0" w:afterAutospacing="0" w:after="0"/>
        <w:rPr>
          <w:i/>
          <w:i/>
          <w:color w:val="333333"/>
        </w:rPr>
      </w:pPr>
      <w:r>
        <w:rPr>
          <w:i/>
          <w:color w:val="333333"/>
        </w:rPr>
      </w:r>
    </w:p>
    <w:p>
      <w:pPr>
        <w:pStyle w:val="NormalWeb"/>
        <w:shd w:val="clear" w:color="auto" w:fill="FFFFFF"/>
        <w:spacing w:beforeAutospacing="0" w:before="0" w:afterAutospacing="0" w:after="0"/>
        <w:rPr>
          <w:b/>
          <w:b/>
          <w:i/>
          <w:i/>
          <w:color w:val="333333"/>
        </w:rPr>
      </w:pPr>
      <w:r>
        <w:rPr>
          <w:b/>
          <w:color w:val="333333"/>
        </w:rPr>
        <w:t>Issue: #3 g): If this information had been collected prior to siting the West Valley Reprocessing facility, the facts would have required the relocation of this hazardous operation to a more appropriate site</w:t>
      </w:r>
      <w:r>
        <w:rPr>
          <w:b/>
          <w:i/>
          <w:color w:val="333333"/>
        </w:rPr>
        <w:t xml:space="preserve">. </w:t>
      </w:r>
    </w:p>
    <w:p>
      <w:pPr>
        <w:pStyle w:val="NormalWeb"/>
        <w:shd w:val="clear" w:color="auto" w:fill="FFFFFF"/>
        <w:spacing w:beforeAutospacing="0" w:before="0" w:afterAutospacing="0" w:after="0"/>
        <w:ind w:left="360" w:hanging="0"/>
        <w:rPr>
          <w:b/>
          <w:b/>
          <w:i/>
          <w:i/>
          <w:color w:val="333333"/>
        </w:rPr>
      </w:pPr>
      <w:r>
        <w:rPr>
          <w:b/>
          <w:i/>
          <w:color w:val="333333"/>
        </w:rPr>
      </w:r>
    </w:p>
    <w:p>
      <w:pPr>
        <w:pStyle w:val="Normal"/>
        <w:shd w:val="clear" w:color="auto" w:fill="FFFFFF"/>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rPr>
          <w:rFonts w:ascii="Times New Roman" w:hAnsi="Times New Roman" w:eastAsia="Times New Roman" w:cs="Times New Roman"/>
          <w:color w:val="333333"/>
          <w:sz w:val="24"/>
          <w:szCs w:val="24"/>
        </w:rPr>
      </w:pPr>
      <w:r>
        <w:rPr>
          <w:rFonts w:eastAsia="Times New Roman" w:cs="Times New Roman" w:ascii="Times New Roman" w:hAnsi="Times New Roman"/>
          <w:b/>
          <w:color w:val="333333"/>
          <w:sz w:val="24"/>
          <w:szCs w:val="24"/>
        </w:rPr>
        <w:t xml:space="preserve">Conclusion: </w:t>
      </w:r>
      <w:r>
        <w:rPr>
          <w:rFonts w:eastAsia="Times New Roman" w:cs="Times New Roman" w:ascii="Times New Roman" w:hAnsi="Times New Roman"/>
          <w:color w:val="333333"/>
          <w:sz w:val="24"/>
          <w:szCs w:val="24"/>
        </w:rPr>
        <w:t xml:space="preserve">Since the West Valley site cannot meet the fundamental siting standards for a low level radioactive waste facility, it is not appropriate or acceptable to use a performance assessment to justify deregulating high level waste from normal stringent controls.  A performance assessment could not honestly justify ignoring existing siting standards.  The West Valley site is not capable of isolating nuclear wastes from humans over the long term. </w:t>
      </w:r>
    </w:p>
    <w:p>
      <w:pPr>
        <w:pStyle w:val="Normal"/>
        <w:shd w:val="clear" w:color="auto" w:fill="FFFFFF"/>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rPr>
          <w:rFonts w:ascii="Times New Roman" w:hAnsi="Times New Roman" w:eastAsia="Times New Roman" w:cs="Times New Roman"/>
          <w:b/>
          <w:b/>
          <w:color w:val="333333"/>
          <w:sz w:val="24"/>
          <w:szCs w:val="24"/>
          <w:u w:val="single"/>
        </w:rPr>
      </w:pPr>
      <w:r>
        <w:rPr>
          <w:rFonts w:eastAsia="Times New Roman" w:cs="Times New Roman" w:ascii="Times New Roman" w:hAnsi="Times New Roman"/>
          <w:b/>
          <w:color w:val="333333"/>
          <w:sz w:val="24"/>
          <w:szCs w:val="24"/>
          <w:u w:val="single"/>
        </w:rPr>
      </w:r>
    </w:p>
    <w:p>
      <w:pPr>
        <w:pStyle w:val="Normal"/>
        <w:shd w:val="clear" w:color="auto" w:fill="FFFFFF"/>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rPr>
          <w:rFonts w:ascii="Times New Roman" w:hAnsi="Times New Roman" w:eastAsia="Times New Roman" w:cs="Times New Roman"/>
          <w:b/>
          <w:b/>
          <w:color w:val="333333"/>
          <w:sz w:val="24"/>
          <w:szCs w:val="24"/>
          <w:u w:val="single"/>
        </w:rPr>
      </w:pPr>
      <w:r>
        <w:rPr>
          <w:rFonts w:eastAsia="Times New Roman" w:cs="Times New Roman" w:ascii="Times New Roman" w:hAnsi="Times New Roman"/>
          <w:b/>
          <w:color w:val="333333"/>
          <w:sz w:val="24"/>
          <w:szCs w:val="24"/>
          <w:u w:val="single"/>
        </w:rPr>
        <w:t xml:space="preserve">10 CFR 61 subpart C Performance Objectives </w:t>
      </w:r>
    </w:p>
    <w:p>
      <w:pPr>
        <w:pStyle w:val="Normal"/>
        <w:shd w:val="clear" w:color="auto" w:fill="FFFFFF"/>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rPr>
          <w:rFonts w:ascii="Times New Roman" w:hAnsi="Times New Roman" w:eastAsia="Times New Roman" w:cs="Times New Roman"/>
          <w:b/>
          <w:b/>
          <w:color w:val="333333"/>
          <w:sz w:val="24"/>
          <w:szCs w:val="24"/>
          <w:u w:val="single"/>
        </w:rPr>
      </w:pPr>
      <w:r>
        <w:rPr>
          <w:rFonts w:eastAsia="Times New Roman" w:cs="Times New Roman" w:ascii="Times New Roman" w:hAnsi="Times New Roman"/>
          <w:b/>
          <w:color w:val="333333"/>
          <w:sz w:val="24"/>
          <w:szCs w:val="24"/>
          <w:u w:val="single"/>
        </w:rPr>
      </w:r>
    </w:p>
    <w:p>
      <w:pPr>
        <w:pStyle w:val="Normal"/>
        <w:shd w:val="clear" w:color="auto" w:fill="FFFFFF"/>
        <w:spacing w:lineRule="auto" w:line="240" w:before="0" w:after="0"/>
        <w:rPr>
          <w:rFonts w:ascii="Times New Roman" w:hAnsi="Times New Roman" w:eastAsia="Times New Roman" w:cs="Times New Roman"/>
          <w:b/>
          <w:b/>
          <w:bCs/>
          <w:i/>
          <w:i/>
          <w:color w:val="333333"/>
          <w:sz w:val="24"/>
          <w:szCs w:val="24"/>
        </w:rPr>
      </w:pPr>
      <w:r>
        <w:rPr>
          <w:rFonts w:eastAsia="Times New Roman" w:cs="Times New Roman" w:ascii="Times New Roman" w:hAnsi="Times New Roman"/>
          <w:b/>
          <w:bCs/>
          <w:i/>
          <w:color w:val="333333"/>
          <w:sz w:val="24"/>
          <w:szCs w:val="24"/>
        </w:rPr>
        <w:t>§ 61.40 General requirements.</w:t>
      </w:r>
    </w:p>
    <w:p>
      <w:pPr>
        <w:pStyle w:val="Normal"/>
        <w:shd w:val="clear" w:color="auto" w:fill="FFFFFF"/>
        <w:spacing w:lineRule="auto" w:line="240" w:before="0" w:after="0"/>
        <w:rPr/>
      </w:pPr>
      <w:r>
        <w:rPr>
          <w:rFonts w:eastAsia="Times New Roman" w:cs="Times New Roman" w:ascii="Times New Roman" w:hAnsi="Times New Roman"/>
          <w:i/>
          <w:sz w:val="24"/>
          <w:szCs w:val="24"/>
        </w:rPr>
        <w:t>Land </w:t>
      </w:r>
      <w:hyperlink r:id="rId4">
        <w:r>
          <w:rPr>
            <w:rStyle w:val="InternetLink"/>
            <w:rFonts w:eastAsia="Times New Roman" w:cs="Times New Roman" w:ascii="Times New Roman" w:hAnsi="Times New Roman"/>
            <w:i/>
            <w:sz w:val="24"/>
            <w:szCs w:val="24"/>
          </w:rPr>
          <w:t>disposal</w:t>
        </w:r>
      </w:hyperlink>
      <w:r>
        <w:rPr>
          <w:rFonts w:eastAsia="Times New Roman" w:cs="Times New Roman" w:ascii="Times New Roman" w:hAnsi="Times New Roman"/>
          <w:i/>
          <w:sz w:val="24"/>
          <w:szCs w:val="24"/>
        </w:rPr>
        <w:t xml:space="preserve"> facilities must be </w:t>
      </w:r>
      <w:r>
        <w:rPr>
          <w:rFonts w:eastAsia="Times New Roman" w:cs="Times New Roman" w:ascii="Times New Roman" w:hAnsi="Times New Roman"/>
          <w:b/>
          <w:i/>
          <w:sz w:val="24"/>
          <w:szCs w:val="24"/>
        </w:rPr>
        <w:t>sited</w:t>
      </w:r>
      <w:r>
        <w:rPr>
          <w:rFonts w:eastAsia="Times New Roman" w:cs="Times New Roman" w:ascii="Times New Roman" w:hAnsi="Times New Roman"/>
          <w:i/>
          <w:sz w:val="24"/>
          <w:szCs w:val="24"/>
        </w:rPr>
        <w:t>, designed, operated, closed, and controlled after </w:t>
      </w:r>
      <w:hyperlink r:id="rId5">
        <w:r>
          <w:rPr>
            <w:rStyle w:val="InternetLink"/>
            <w:rFonts w:eastAsia="Times New Roman" w:cs="Times New Roman" w:ascii="Times New Roman" w:hAnsi="Times New Roman"/>
            <w:i/>
            <w:sz w:val="24"/>
            <w:szCs w:val="24"/>
          </w:rPr>
          <w:t>closure</w:t>
        </w:r>
      </w:hyperlink>
      <w:r>
        <w:rPr>
          <w:rFonts w:eastAsia="Times New Roman" w:cs="Times New Roman" w:ascii="Times New Roman" w:hAnsi="Times New Roman"/>
          <w:i/>
          <w:sz w:val="24"/>
          <w:szCs w:val="24"/>
        </w:rPr>
        <w:t> so that reasonable assurance exists that exposures to humans are within the limits established in the performance objectives in </w:t>
      </w:r>
      <w:hyperlink r:id="rId6">
        <w:r>
          <w:rPr>
            <w:rStyle w:val="InternetLink"/>
            <w:rFonts w:eastAsia="Times New Roman" w:cs="Times New Roman" w:ascii="Times New Roman" w:hAnsi="Times New Roman"/>
            <w:i/>
            <w:sz w:val="24"/>
            <w:szCs w:val="24"/>
          </w:rPr>
          <w:t>§§ 61.41</w:t>
        </w:r>
      </w:hyperlink>
      <w:r>
        <w:rPr>
          <w:rFonts w:eastAsia="Times New Roman" w:cs="Times New Roman" w:ascii="Times New Roman" w:hAnsi="Times New Roman"/>
          <w:i/>
          <w:sz w:val="24"/>
          <w:szCs w:val="24"/>
        </w:rPr>
        <w:t> through 61.44.</w:t>
      </w:r>
    </w:p>
    <w:p>
      <w:pPr>
        <w:pStyle w:val="Normal"/>
        <w:shd w:val="clear" w:color="auto" w:fill="FFFFFF"/>
        <w:spacing w:lineRule="auto" w:line="240" w:before="0" w:after="0"/>
        <w:rPr>
          <w:rFonts w:ascii="Times New Roman" w:hAnsi="Times New Roman" w:eastAsia="Times New Roman" w:cs="Times New Roman"/>
          <w:b/>
          <w:b/>
          <w:i/>
          <w:i/>
          <w:sz w:val="24"/>
          <w:szCs w:val="24"/>
        </w:rPr>
      </w:pPr>
      <w:r>
        <w:rPr>
          <w:rFonts w:eastAsia="Times New Roman" w:cs="Times New Roman" w:ascii="Times New Roman" w:hAnsi="Times New Roman"/>
          <w:b/>
          <w:i/>
          <w:sz w:val="24"/>
          <w:szCs w:val="24"/>
        </w:rPr>
      </w:r>
    </w:p>
    <w:p>
      <w:pPr>
        <w:pStyle w:val="Normal"/>
        <w:shd w:val="clear" w:color="auto" w:fill="FFFFFF"/>
        <w:spacing w:lineRule="auto" w:line="240" w:before="0" w:after="0"/>
        <w:rPr>
          <w:rFonts w:ascii="Times New Roman" w:hAnsi="Times New Roman" w:eastAsia="Times New Roman" w:cs="Times New Roman"/>
          <w:b/>
          <w:b/>
          <w:color w:val="333333"/>
          <w:sz w:val="24"/>
          <w:szCs w:val="24"/>
        </w:rPr>
      </w:pPr>
      <w:r>
        <w:rPr>
          <w:rFonts w:eastAsia="Times New Roman" w:cs="Times New Roman" w:ascii="Times New Roman" w:hAnsi="Times New Roman"/>
          <w:b/>
          <w:color w:val="333333"/>
          <w:sz w:val="24"/>
          <w:szCs w:val="24"/>
        </w:rPr>
        <w:t xml:space="preserve">Issue: #3 h):DOE must recognize that West Valley was never sited in accordance with 10 CFR 61. As a consequence it is not possible for the site to meet Performance objectives of Subpart C. </w:t>
      </w:r>
    </w:p>
    <w:p>
      <w:pPr>
        <w:pStyle w:val="Normal"/>
        <w:shd w:val="clear" w:color="auto" w:fill="FFFFFF"/>
        <w:spacing w:lineRule="auto" w:line="240" w:before="0" w:after="0"/>
        <w:rPr>
          <w:rFonts w:ascii="Times New Roman" w:hAnsi="Times New Roman" w:eastAsia="Times New Roman" w:cs="Times New Roman"/>
          <w:b/>
          <w:b/>
          <w:bCs/>
          <w:color w:val="333333"/>
          <w:sz w:val="24"/>
          <w:szCs w:val="24"/>
        </w:rPr>
      </w:pPr>
      <w:r>
        <w:rPr>
          <w:rFonts w:eastAsia="Times New Roman" w:cs="Times New Roman" w:ascii="Times New Roman" w:hAnsi="Times New Roman"/>
          <w:b/>
          <w:bCs/>
          <w:color w:val="333333"/>
          <w:sz w:val="24"/>
          <w:szCs w:val="24"/>
        </w:rPr>
      </w:r>
    </w:p>
    <w:p>
      <w:pPr>
        <w:pStyle w:val="Normal"/>
        <w:shd w:val="clear" w:color="auto" w:fill="FFFFFF"/>
        <w:spacing w:lineRule="auto" w:line="240" w:before="0" w:after="0"/>
        <w:rPr>
          <w:rFonts w:ascii="Times New Roman" w:hAnsi="Times New Roman" w:eastAsia="Times New Roman" w:cs="Times New Roman"/>
          <w:b/>
          <w:b/>
          <w:bCs/>
          <w:i/>
          <w:i/>
          <w:color w:val="333333"/>
          <w:sz w:val="24"/>
          <w:szCs w:val="24"/>
        </w:rPr>
      </w:pPr>
      <w:r>
        <w:rPr>
          <w:rFonts w:eastAsia="Times New Roman" w:cs="Times New Roman" w:ascii="Times New Roman" w:hAnsi="Times New Roman"/>
          <w:b/>
          <w:bCs/>
          <w:i/>
          <w:color w:val="333333"/>
          <w:sz w:val="24"/>
          <w:szCs w:val="24"/>
        </w:rPr>
        <w:t>§ 61.41 Protection of the general population from releases of radioactivity.</w:t>
      </w:r>
    </w:p>
    <w:p>
      <w:pPr>
        <w:pStyle w:val="Normal"/>
        <w:shd w:val="clear" w:color="auto" w:fill="FFFFFF"/>
        <w:spacing w:lineRule="auto" w:line="240" w:before="0" w:after="0"/>
        <w:rPr/>
      </w:pPr>
      <w:r>
        <w:rPr>
          <w:rFonts w:eastAsia="Times New Roman" w:cs="Times New Roman" w:ascii="Times New Roman" w:hAnsi="Times New Roman"/>
          <w:i/>
          <w:color w:val="333333"/>
          <w:sz w:val="24"/>
          <w:szCs w:val="24"/>
        </w:rPr>
        <w:t>Concentrations of radioactive material which may be released to the general environment in </w:t>
      </w:r>
      <w:hyperlink r:id="rId7">
        <w:r>
          <w:rPr>
            <w:rStyle w:val="InternetLink"/>
            <w:rFonts w:eastAsia="Times New Roman" w:cs="Times New Roman" w:ascii="Times New Roman" w:hAnsi="Times New Roman"/>
            <w:i/>
            <w:sz w:val="24"/>
            <w:szCs w:val="24"/>
          </w:rPr>
          <w:t>groundwater</w:t>
        </w:r>
      </w:hyperlink>
      <w:r>
        <w:rPr>
          <w:rFonts w:eastAsia="Times New Roman" w:cs="Times New Roman" w:ascii="Times New Roman" w:hAnsi="Times New Roman"/>
          <w:i/>
          <w:sz w:val="24"/>
          <w:szCs w:val="24"/>
        </w:rPr>
        <w:t>,</w:t>
      </w:r>
      <w:r>
        <w:rPr>
          <w:rFonts w:eastAsia="Times New Roman" w:cs="Times New Roman" w:ascii="Times New Roman" w:hAnsi="Times New Roman"/>
          <w:i/>
          <w:color w:val="333333"/>
          <w:sz w:val="24"/>
          <w:szCs w:val="24"/>
        </w:rPr>
        <w:t xml:space="preserve"> surface water, air, soil, plants, or animals must not result in an annual dose exceeding an equivalent of 25 millirems to the whole body, 75 millirems to the thyroid, and 25 millirems to any other organ of any member of the public. Reasonable effort should be made to maintain releases of radioactivity in effluents to the general environment as low as is reasonably achievable.</w:t>
      </w:r>
    </w:p>
    <w:p>
      <w:pPr>
        <w:pStyle w:val="Normal"/>
        <w:shd w:val="clear" w:color="auto" w:fill="FFFFFF"/>
        <w:spacing w:lineRule="auto" w:line="240" w:before="0" w:after="0"/>
        <w:rPr>
          <w:rFonts w:ascii="Times New Roman" w:hAnsi="Times New Roman" w:eastAsia="Times New Roman" w:cs="Times New Roman"/>
          <w:color w:val="333333"/>
          <w:sz w:val="24"/>
          <w:szCs w:val="24"/>
        </w:rPr>
      </w:pPr>
      <w:r>
        <w:rPr>
          <w:rFonts w:eastAsia="Times New Roman" w:cs="Times New Roman" w:ascii="Times New Roman" w:hAnsi="Times New Roman"/>
          <w:color w:val="333333"/>
          <w:sz w:val="24"/>
          <w:szCs w:val="24"/>
        </w:rPr>
      </w:r>
    </w:p>
    <w:p>
      <w:pPr>
        <w:pStyle w:val="Normal"/>
        <w:shd w:val="clear" w:color="auto" w:fill="FFFFFF"/>
        <w:spacing w:lineRule="auto" w:line="240" w:before="0" w:after="0"/>
        <w:rPr>
          <w:rFonts w:ascii="Times New Roman" w:hAnsi="Times New Roman" w:eastAsia="Times New Roman" w:cs="Times New Roman"/>
          <w:b/>
          <w:b/>
          <w:bCs/>
          <w:color w:val="333333"/>
          <w:sz w:val="24"/>
          <w:szCs w:val="24"/>
        </w:rPr>
      </w:pPr>
      <w:r>
        <w:rPr>
          <w:rFonts w:eastAsia="Times New Roman" w:cs="Times New Roman" w:ascii="Times New Roman" w:hAnsi="Times New Roman"/>
          <w:b/>
          <w:color w:val="333333"/>
          <w:sz w:val="24"/>
          <w:szCs w:val="24"/>
        </w:rPr>
        <w:t xml:space="preserve">Issue:#3 i): NRC in its final policy statement regarding West Valley decommissioning recognized that it may not be possible for West Valley to meet the standards in order to terminate the license and release the site for other uses. </w:t>
      </w:r>
    </w:p>
    <w:p>
      <w:pPr>
        <w:pStyle w:val="Normal"/>
        <w:shd w:val="clear" w:color="auto" w:fill="FFFFFF"/>
        <w:spacing w:lineRule="auto" w:line="240" w:before="0" w:after="0"/>
        <w:rPr>
          <w:rFonts w:ascii="Times New Roman" w:hAnsi="Times New Roman" w:eastAsia="Times New Roman" w:cs="Times New Roman"/>
          <w:b/>
          <w:b/>
          <w:bCs/>
          <w:color w:val="333333"/>
          <w:sz w:val="24"/>
          <w:szCs w:val="24"/>
        </w:rPr>
      </w:pPr>
      <w:r>
        <w:rPr>
          <w:rFonts w:eastAsia="Times New Roman" w:cs="Times New Roman" w:ascii="Times New Roman" w:hAnsi="Times New Roman"/>
          <w:b/>
          <w:bCs/>
          <w:color w:val="333333"/>
          <w:sz w:val="24"/>
          <w:szCs w:val="24"/>
        </w:rPr>
      </w:r>
    </w:p>
    <w:p>
      <w:pPr>
        <w:pStyle w:val="Normal"/>
        <w:shd w:val="clear" w:color="auto" w:fill="FFFFFF"/>
        <w:spacing w:lineRule="auto" w:line="240" w:before="0" w:after="0"/>
        <w:rPr>
          <w:rFonts w:ascii="Times New Roman" w:hAnsi="Times New Roman" w:eastAsia="Times New Roman" w:cs="Times New Roman"/>
          <w:b/>
          <w:b/>
          <w:bCs/>
          <w:i/>
          <w:i/>
          <w:color w:val="333333"/>
          <w:sz w:val="24"/>
          <w:szCs w:val="24"/>
        </w:rPr>
      </w:pPr>
      <w:r>
        <w:rPr>
          <w:rFonts w:eastAsia="Times New Roman" w:cs="Times New Roman" w:ascii="Times New Roman" w:hAnsi="Times New Roman"/>
          <w:b/>
          <w:bCs/>
          <w:i/>
          <w:color w:val="333333"/>
          <w:sz w:val="24"/>
          <w:szCs w:val="24"/>
        </w:rPr>
        <w:t>§ 61.42 Protection of individuals from inadvertent intrusion</w:t>
      </w:r>
    </w:p>
    <w:p>
      <w:pPr>
        <w:pStyle w:val="Normal"/>
        <w:shd w:val="clear" w:color="auto" w:fill="FFFFFF"/>
        <w:spacing w:lineRule="auto" w:line="240" w:before="0" w:after="0"/>
        <w:rPr/>
      </w:pPr>
      <w:r>
        <w:rPr>
          <w:rFonts w:eastAsia="Times New Roman" w:cs="Times New Roman" w:ascii="Times New Roman" w:hAnsi="Times New Roman"/>
          <w:i/>
          <w:sz w:val="24"/>
          <w:szCs w:val="24"/>
        </w:rPr>
        <w:t>Design, </w:t>
      </w:r>
      <w:hyperlink r:id="rId8">
        <w:r>
          <w:rPr>
            <w:rStyle w:val="InternetLink"/>
            <w:rFonts w:eastAsia="Times New Roman" w:cs="Times New Roman" w:ascii="Times New Roman" w:hAnsi="Times New Roman"/>
            <w:i/>
            <w:sz w:val="24"/>
            <w:szCs w:val="24"/>
          </w:rPr>
          <w:t>operation</w:t>
        </w:r>
      </w:hyperlink>
      <w:r>
        <w:rPr>
          <w:rFonts w:eastAsia="Times New Roman" w:cs="Times New Roman" w:ascii="Times New Roman" w:hAnsi="Times New Roman"/>
          <w:i/>
          <w:sz w:val="24"/>
          <w:szCs w:val="24"/>
        </w:rPr>
        <w:t>, and </w:t>
      </w:r>
      <w:hyperlink r:id="rId9">
        <w:r>
          <w:rPr>
            <w:rStyle w:val="InternetLink"/>
            <w:rFonts w:eastAsia="Times New Roman" w:cs="Times New Roman" w:ascii="Times New Roman" w:hAnsi="Times New Roman"/>
            <w:i/>
            <w:sz w:val="24"/>
            <w:szCs w:val="24"/>
          </w:rPr>
          <w:t>closure</w:t>
        </w:r>
      </w:hyperlink>
      <w:r>
        <w:rPr>
          <w:rFonts w:eastAsia="Times New Roman" w:cs="Times New Roman" w:ascii="Times New Roman" w:hAnsi="Times New Roman"/>
          <w:i/>
          <w:sz w:val="24"/>
          <w:szCs w:val="24"/>
        </w:rPr>
        <w:t> of the </w:t>
      </w:r>
      <w:hyperlink r:id="rId10">
        <w:r>
          <w:rPr>
            <w:rStyle w:val="InternetLink"/>
            <w:rFonts w:eastAsia="Times New Roman" w:cs="Times New Roman" w:ascii="Times New Roman" w:hAnsi="Times New Roman"/>
            <w:i/>
            <w:sz w:val="24"/>
            <w:szCs w:val="24"/>
          </w:rPr>
          <w:t>land disposal facility</w:t>
        </w:r>
      </w:hyperlink>
      <w:r>
        <w:rPr>
          <w:rFonts w:eastAsia="Times New Roman" w:cs="Times New Roman" w:ascii="Times New Roman" w:hAnsi="Times New Roman"/>
          <w:i/>
          <w:sz w:val="24"/>
          <w:szCs w:val="24"/>
        </w:rPr>
        <w:t> must ensure protection of any individual inadvertently intruding into the </w:t>
      </w:r>
      <w:hyperlink r:id="rId11">
        <w:r>
          <w:rPr>
            <w:rStyle w:val="InternetLink"/>
            <w:rFonts w:eastAsia="Times New Roman" w:cs="Times New Roman" w:ascii="Times New Roman" w:hAnsi="Times New Roman"/>
            <w:i/>
            <w:sz w:val="24"/>
            <w:szCs w:val="24"/>
          </w:rPr>
          <w:t>disposal site</w:t>
        </w:r>
      </w:hyperlink>
      <w:r>
        <w:rPr>
          <w:rFonts w:eastAsia="Times New Roman" w:cs="Times New Roman" w:ascii="Times New Roman" w:hAnsi="Times New Roman"/>
          <w:i/>
          <w:sz w:val="24"/>
          <w:szCs w:val="24"/>
        </w:rPr>
        <w:t> and occupying the site or contacting the </w:t>
      </w:r>
      <w:hyperlink r:id="rId12">
        <w:r>
          <w:rPr>
            <w:rStyle w:val="InternetLink"/>
            <w:rFonts w:eastAsia="Times New Roman" w:cs="Times New Roman" w:ascii="Times New Roman" w:hAnsi="Times New Roman"/>
            <w:i/>
            <w:sz w:val="24"/>
            <w:szCs w:val="24"/>
          </w:rPr>
          <w:t>waste</w:t>
        </w:r>
      </w:hyperlink>
      <w:r>
        <w:rPr>
          <w:rFonts w:eastAsia="Times New Roman" w:cs="Times New Roman" w:ascii="Times New Roman" w:hAnsi="Times New Roman"/>
          <w:i/>
          <w:sz w:val="24"/>
          <w:szCs w:val="24"/>
        </w:rPr>
        <w:t> at any time after active institutional controls over the </w:t>
      </w:r>
      <w:hyperlink r:id="rId13">
        <w:r>
          <w:rPr>
            <w:rStyle w:val="InternetLink"/>
            <w:rFonts w:eastAsia="Times New Roman" w:cs="Times New Roman" w:ascii="Times New Roman" w:hAnsi="Times New Roman"/>
            <w:i/>
            <w:sz w:val="24"/>
            <w:szCs w:val="24"/>
          </w:rPr>
          <w:t>disposal site</w:t>
        </w:r>
      </w:hyperlink>
      <w:r>
        <w:rPr>
          <w:rFonts w:eastAsia="Times New Roman" w:cs="Times New Roman" w:ascii="Times New Roman" w:hAnsi="Times New Roman"/>
          <w:i/>
          <w:sz w:val="24"/>
          <w:szCs w:val="24"/>
        </w:rPr>
        <w:t> are removed.</w:t>
      </w:r>
    </w:p>
    <w:p>
      <w:pPr>
        <w:pStyle w:val="Normal"/>
        <w:shd w:val="clear" w:color="auto" w:fill="FFFFFF"/>
        <w:spacing w:lineRule="auto" w:line="240" w:before="0" w:after="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r>
    </w:p>
    <w:p>
      <w:pPr>
        <w:pStyle w:val="Normal"/>
        <w:shd w:val="clear" w:color="auto" w:fill="FFFFFF"/>
        <w:spacing w:lineRule="auto" w:line="240" w:before="0" w:after="0"/>
        <w:rPr>
          <w:rFonts w:ascii="Times New Roman" w:hAnsi="Times New Roman" w:eastAsia="Times New Roman" w:cs="Times New Roman"/>
          <w:b/>
          <w:b/>
          <w:color w:val="333333"/>
          <w:sz w:val="24"/>
          <w:szCs w:val="24"/>
        </w:rPr>
      </w:pPr>
      <w:r>
        <w:rPr>
          <w:rFonts w:eastAsia="Times New Roman" w:cs="Times New Roman" w:ascii="Times New Roman" w:hAnsi="Times New Roman"/>
          <w:b/>
          <w:color w:val="333333"/>
          <w:sz w:val="24"/>
          <w:szCs w:val="24"/>
        </w:rPr>
        <w:t xml:space="preserve">Issue: #3 j): No Agency has suggested a date in the future when active institutional controls can be removed at West Valley. Erosion has required annual engineering work to maintain erosion control. </w:t>
      </w:r>
    </w:p>
    <w:p>
      <w:pPr>
        <w:pStyle w:val="Normal"/>
        <w:shd w:val="clear" w:color="auto" w:fill="FFFFFF"/>
        <w:spacing w:lineRule="auto" w:line="240" w:before="0" w:after="0"/>
        <w:rPr>
          <w:rFonts w:ascii="Times New Roman" w:hAnsi="Times New Roman" w:eastAsia="Times New Roman" w:cs="Times New Roman"/>
          <w:b/>
          <w:b/>
          <w:color w:val="333333"/>
          <w:sz w:val="24"/>
          <w:szCs w:val="24"/>
        </w:rPr>
      </w:pPr>
      <w:r>
        <w:rPr>
          <w:rFonts w:eastAsia="Times New Roman" w:cs="Times New Roman" w:ascii="Times New Roman" w:hAnsi="Times New Roman"/>
          <w:b/>
          <w:color w:val="333333"/>
          <w:sz w:val="24"/>
          <w:szCs w:val="24"/>
        </w:rPr>
      </w:r>
    </w:p>
    <w:p>
      <w:pPr>
        <w:pStyle w:val="Normal"/>
        <w:spacing w:lineRule="auto" w:line="240" w:before="0" w:after="0"/>
        <w:rPr/>
      </w:pPr>
      <w:r>
        <w:rPr>
          <w:rFonts w:eastAsia="Times New Roman" w:cs="Times New Roman" w:ascii="Times New Roman" w:hAnsi="Times New Roman"/>
          <w:b/>
          <w:bCs/>
          <w:i/>
          <w:sz w:val="24"/>
          <w:szCs w:val="24"/>
        </w:rPr>
        <w:t>§ 61.44 </w:t>
      </w:r>
      <w:hyperlink r:id="rId14">
        <w:r>
          <w:rPr>
            <w:rStyle w:val="InternetLink"/>
            <w:rFonts w:eastAsia="Times New Roman" w:cs="Times New Roman" w:ascii="Times New Roman" w:hAnsi="Times New Roman"/>
            <w:b/>
            <w:bCs/>
            <w:i/>
            <w:sz w:val="24"/>
            <w:szCs w:val="24"/>
          </w:rPr>
          <w:t>Stability</w:t>
        </w:r>
      </w:hyperlink>
      <w:r>
        <w:rPr>
          <w:rFonts w:eastAsia="Times New Roman" w:cs="Times New Roman" w:ascii="Times New Roman" w:hAnsi="Times New Roman"/>
          <w:b/>
          <w:bCs/>
          <w:i/>
          <w:sz w:val="24"/>
          <w:szCs w:val="24"/>
        </w:rPr>
        <w:t> of the </w:t>
      </w:r>
      <w:hyperlink r:id="rId15">
        <w:r>
          <w:rPr>
            <w:rStyle w:val="InternetLink"/>
            <w:rFonts w:eastAsia="Times New Roman" w:cs="Times New Roman" w:ascii="Times New Roman" w:hAnsi="Times New Roman"/>
            <w:b/>
            <w:bCs/>
            <w:i/>
            <w:sz w:val="24"/>
            <w:szCs w:val="24"/>
          </w:rPr>
          <w:t>disposal site</w:t>
        </w:r>
      </w:hyperlink>
      <w:r>
        <w:rPr>
          <w:rFonts w:eastAsia="Times New Roman" w:cs="Times New Roman" w:ascii="Times New Roman" w:hAnsi="Times New Roman"/>
          <w:b/>
          <w:bCs/>
          <w:i/>
          <w:sz w:val="24"/>
          <w:szCs w:val="24"/>
        </w:rPr>
        <w:t> after </w:t>
      </w:r>
      <w:hyperlink r:id="rId16">
        <w:r>
          <w:rPr>
            <w:rStyle w:val="InternetLink"/>
            <w:rFonts w:eastAsia="Times New Roman" w:cs="Times New Roman" w:ascii="Times New Roman" w:hAnsi="Times New Roman"/>
            <w:b/>
            <w:bCs/>
            <w:i/>
            <w:sz w:val="24"/>
            <w:szCs w:val="24"/>
          </w:rPr>
          <w:t>closure</w:t>
        </w:r>
      </w:hyperlink>
    </w:p>
    <w:p>
      <w:pPr>
        <w:pStyle w:val="Normal"/>
        <w:spacing w:lineRule="auto" w:line="240" w:before="0" w:after="0"/>
        <w:rPr/>
      </w:pPr>
      <w:r>
        <w:rPr>
          <w:rFonts w:eastAsia="Times New Roman" w:cs="Times New Roman" w:ascii="Times New Roman" w:hAnsi="Times New Roman"/>
          <w:i/>
          <w:sz w:val="24"/>
          <w:szCs w:val="24"/>
        </w:rPr>
        <w:t>The </w:t>
      </w:r>
      <w:hyperlink r:id="rId17">
        <w:r>
          <w:rPr>
            <w:rStyle w:val="InternetLink"/>
            <w:rFonts w:eastAsia="Times New Roman" w:cs="Times New Roman" w:ascii="Times New Roman" w:hAnsi="Times New Roman"/>
            <w:i/>
            <w:sz w:val="24"/>
            <w:szCs w:val="24"/>
          </w:rPr>
          <w:t>disposal</w:t>
        </w:r>
      </w:hyperlink>
      <w:r>
        <w:rPr>
          <w:rFonts w:eastAsia="Times New Roman" w:cs="Times New Roman" w:ascii="Times New Roman" w:hAnsi="Times New Roman"/>
          <w:i/>
          <w:sz w:val="24"/>
          <w:szCs w:val="24"/>
        </w:rPr>
        <w:t> facility must be sited, designed, used, operated, and closed to achieve long-term </w:t>
      </w:r>
      <w:hyperlink r:id="rId18">
        <w:r>
          <w:rPr>
            <w:rStyle w:val="InternetLink"/>
            <w:rFonts w:eastAsia="Times New Roman" w:cs="Times New Roman" w:ascii="Times New Roman" w:hAnsi="Times New Roman"/>
            <w:i/>
            <w:sz w:val="24"/>
            <w:szCs w:val="24"/>
          </w:rPr>
          <w:t>stability</w:t>
        </w:r>
      </w:hyperlink>
      <w:r>
        <w:rPr>
          <w:rFonts w:eastAsia="Times New Roman" w:cs="Times New Roman" w:ascii="Times New Roman" w:hAnsi="Times New Roman"/>
          <w:i/>
          <w:sz w:val="24"/>
          <w:szCs w:val="24"/>
        </w:rPr>
        <w:t> of the </w:t>
      </w:r>
      <w:hyperlink r:id="rId19">
        <w:r>
          <w:rPr>
            <w:rStyle w:val="InternetLink"/>
            <w:rFonts w:eastAsia="Times New Roman" w:cs="Times New Roman" w:ascii="Times New Roman" w:hAnsi="Times New Roman"/>
            <w:i/>
            <w:sz w:val="24"/>
            <w:szCs w:val="24"/>
          </w:rPr>
          <w:t>disposal site</w:t>
        </w:r>
      </w:hyperlink>
      <w:r>
        <w:rPr>
          <w:rFonts w:eastAsia="Times New Roman" w:cs="Times New Roman" w:ascii="Times New Roman" w:hAnsi="Times New Roman"/>
          <w:i/>
          <w:sz w:val="24"/>
          <w:szCs w:val="24"/>
        </w:rPr>
        <w:t> and to eliminate to the extent practicable the need for ongoing </w:t>
      </w:r>
      <w:hyperlink r:id="rId20">
        <w:r>
          <w:rPr>
            <w:rStyle w:val="InternetLink"/>
            <w:rFonts w:eastAsia="Times New Roman" w:cs="Times New Roman" w:ascii="Times New Roman" w:hAnsi="Times New Roman"/>
            <w:i/>
            <w:sz w:val="24"/>
            <w:szCs w:val="24"/>
          </w:rPr>
          <w:t>active maintenance</w:t>
        </w:r>
      </w:hyperlink>
      <w:r>
        <w:rPr>
          <w:rFonts w:eastAsia="Times New Roman" w:cs="Times New Roman" w:ascii="Times New Roman" w:hAnsi="Times New Roman"/>
          <w:i/>
          <w:sz w:val="24"/>
          <w:szCs w:val="24"/>
        </w:rPr>
        <w:t> of the </w:t>
      </w:r>
      <w:hyperlink r:id="rId21">
        <w:r>
          <w:rPr>
            <w:rStyle w:val="InternetLink"/>
            <w:rFonts w:eastAsia="Times New Roman" w:cs="Times New Roman" w:ascii="Times New Roman" w:hAnsi="Times New Roman"/>
            <w:i/>
            <w:sz w:val="24"/>
            <w:szCs w:val="24"/>
          </w:rPr>
          <w:t>disposal site</w:t>
        </w:r>
      </w:hyperlink>
      <w:r>
        <w:rPr>
          <w:rFonts w:eastAsia="Times New Roman" w:cs="Times New Roman" w:ascii="Times New Roman" w:hAnsi="Times New Roman"/>
          <w:i/>
          <w:sz w:val="24"/>
          <w:szCs w:val="24"/>
        </w:rPr>
        <w:t> following </w:t>
      </w:r>
      <w:hyperlink r:id="rId22">
        <w:r>
          <w:rPr>
            <w:rStyle w:val="InternetLink"/>
            <w:rFonts w:eastAsia="Times New Roman" w:cs="Times New Roman" w:ascii="Times New Roman" w:hAnsi="Times New Roman"/>
            <w:i/>
            <w:sz w:val="24"/>
            <w:szCs w:val="24"/>
          </w:rPr>
          <w:t>closure</w:t>
        </w:r>
      </w:hyperlink>
      <w:r>
        <w:rPr>
          <w:rFonts w:eastAsia="Times New Roman" w:cs="Times New Roman" w:ascii="Times New Roman" w:hAnsi="Times New Roman"/>
          <w:i/>
          <w:sz w:val="24"/>
          <w:szCs w:val="24"/>
        </w:rPr>
        <w:t xml:space="preserve"> so that only </w:t>
      </w:r>
      <w:hyperlink r:id="rId23">
        <w:r>
          <w:rPr>
            <w:rStyle w:val="InternetLink"/>
            <w:rFonts w:eastAsia="Times New Roman" w:cs="Times New Roman" w:ascii="Times New Roman" w:hAnsi="Times New Roman"/>
            <w:i/>
            <w:sz w:val="24"/>
            <w:szCs w:val="24"/>
          </w:rPr>
          <w:t>surveillance</w:t>
        </w:r>
      </w:hyperlink>
      <w:r>
        <w:rPr>
          <w:rFonts w:eastAsia="Times New Roman" w:cs="Times New Roman" w:ascii="Times New Roman" w:hAnsi="Times New Roman"/>
          <w:i/>
          <w:sz w:val="24"/>
          <w:szCs w:val="24"/>
        </w:rPr>
        <w:t>, </w:t>
      </w:r>
      <w:hyperlink r:id="rId24">
        <w:r>
          <w:rPr>
            <w:rStyle w:val="InternetLink"/>
            <w:rFonts w:eastAsia="Times New Roman" w:cs="Times New Roman" w:ascii="Times New Roman" w:hAnsi="Times New Roman"/>
            <w:i/>
            <w:sz w:val="24"/>
            <w:szCs w:val="24"/>
          </w:rPr>
          <w:t>monitoring</w:t>
        </w:r>
      </w:hyperlink>
      <w:r>
        <w:rPr>
          <w:rFonts w:eastAsia="Times New Roman" w:cs="Times New Roman" w:ascii="Times New Roman" w:hAnsi="Times New Roman"/>
          <w:i/>
          <w:sz w:val="24"/>
          <w:szCs w:val="24"/>
        </w:rPr>
        <w:t>, or minor custodial care are required.</w:t>
      </w:r>
    </w:p>
    <w:p>
      <w:pPr>
        <w:pStyle w:val="Normal"/>
        <w:shd w:val="clear" w:color="auto" w:fill="FFFFFF"/>
        <w:spacing w:lineRule="auto" w:line="240" w:before="0" w:after="0"/>
        <w:rPr>
          <w:rFonts w:ascii="Times New Roman" w:hAnsi="Times New Roman" w:eastAsia="Times New Roman" w:cs="Times New Roman"/>
          <w:b/>
          <w:b/>
          <w:color w:val="333333"/>
          <w:sz w:val="24"/>
          <w:szCs w:val="24"/>
        </w:rPr>
      </w:pPr>
      <w:r>
        <w:rPr>
          <w:rFonts w:eastAsia="Times New Roman" w:cs="Times New Roman" w:ascii="Times New Roman" w:hAnsi="Times New Roman"/>
          <w:b/>
          <w:color w:val="333333"/>
          <w:sz w:val="24"/>
          <w:szCs w:val="24"/>
        </w:rPr>
      </w:r>
    </w:p>
    <w:p>
      <w:pPr>
        <w:pStyle w:val="Normal"/>
        <w:spacing w:lineRule="auto" w:line="240" w:before="0" w:after="0"/>
        <w:rPr>
          <w:rFonts w:ascii="Times New Roman" w:hAnsi="Times New Roman" w:eastAsia="Times New Roman" w:cs="Times New Roman"/>
          <w:b/>
          <w:b/>
          <w:color w:val="333333"/>
          <w:sz w:val="24"/>
          <w:szCs w:val="24"/>
        </w:rPr>
      </w:pPr>
      <w:r>
        <w:rPr>
          <w:rFonts w:eastAsia="Times New Roman" w:cs="Times New Roman" w:ascii="Times New Roman" w:hAnsi="Times New Roman"/>
          <w:b/>
          <w:color w:val="333333"/>
          <w:sz w:val="24"/>
          <w:szCs w:val="24"/>
        </w:rPr>
        <w:t xml:space="preserve">Issue: #3 k): Stability is the major issue for disposal areas and rapidly eroding plateaus at the West Valley site, which would eliminate the possibility of reducing active maintenance  in the future. </w:t>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bookmarkStart w:id="0" w:name="_GoBack"/>
      <w:bookmarkStart w:id="1" w:name="_GoBack"/>
      <w:bookmarkEnd w:id="1"/>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drawing>
          <wp:inline distT="0" distB="3810" distL="0" distR="0">
            <wp:extent cx="5943600" cy="9083675"/>
            <wp:effectExtent l="0" t="0" r="0" b="0"/>
            <wp:docPr id="2"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
                    <pic:cNvPicPr>
                      <a:picLocks noChangeAspect="1" noChangeArrowheads="1"/>
                    </pic:cNvPicPr>
                  </pic:nvPicPr>
                  <pic:blipFill>
                    <a:blip r:embed="rId25"/>
                    <a:stretch>
                      <a:fillRect/>
                    </a:stretch>
                  </pic:blipFill>
                  <pic:spPr bwMode="auto">
                    <a:xfrm>
                      <a:off x="0" y="0"/>
                      <a:ext cx="5943600" cy="9083675"/>
                    </a:xfrm>
                    <a:prstGeom prst="rect">
                      <a:avLst/>
                    </a:prstGeom>
                  </pic:spPr>
                </pic:pic>
              </a:graphicData>
            </a:graphic>
          </wp:inline>
        </w:drawing>
      </w:r>
    </w:p>
    <w:p>
      <w:pPr>
        <w:pStyle w:val="Normal"/>
        <w:rPr>
          <w:rFonts w:ascii="Times New Roman" w:hAnsi="Times New Roman" w:cs="Times New Roman"/>
          <w:sz w:val="24"/>
          <w:szCs w:val="24"/>
        </w:rPr>
      </w:pPr>
      <w:r>
        <w:rPr/>
        <w:drawing>
          <wp:inline distT="0" distB="0" distL="0" distR="0">
            <wp:extent cx="5943600" cy="8251190"/>
            <wp:effectExtent l="0" t="0" r="0" b="0"/>
            <wp:docPr id="3"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
                    <pic:cNvPicPr>
                      <a:picLocks noChangeAspect="1" noChangeArrowheads="1"/>
                    </pic:cNvPicPr>
                  </pic:nvPicPr>
                  <pic:blipFill>
                    <a:blip r:embed="rId26"/>
                    <a:stretch>
                      <a:fillRect/>
                    </a:stretch>
                  </pic:blipFill>
                  <pic:spPr bwMode="auto">
                    <a:xfrm>
                      <a:off x="0" y="0"/>
                      <a:ext cx="5943600" cy="8251190"/>
                    </a:xfrm>
                    <a:prstGeom prst="rect">
                      <a:avLst/>
                    </a:prstGeom>
                  </pic:spPr>
                </pic:pic>
              </a:graphicData>
            </a:graphic>
          </wp:inline>
        </w:drawing>
      </w:r>
    </w:p>
    <w:p>
      <w:pPr>
        <w:pStyle w:val="Normal"/>
        <w:spacing w:lineRule="auto" w:line="240" w:before="0" w:after="0"/>
        <w:rPr/>
      </w:pPr>
      <w:r>
        <w:rPr/>
        <w:drawing>
          <wp:inline distT="0" distB="0" distL="0" distR="0">
            <wp:extent cx="5943600" cy="5987415"/>
            <wp:effectExtent l="0" t="0" r="0" b="0"/>
            <wp:docPr id="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
                    <pic:cNvPicPr>
                      <a:picLocks noChangeAspect="1" noChangeArrowheads="1"/>
                    </pic:cNvPicPr>
                  </pic:nvPicPr>
                  <pic:blipFill>
                    <a:blip r:embed="rId27"/>
                    <a:stretch>
                      <a:fillRect/>
                    </a:stretch>
                  </pic:blipFill>
                  <pic:spPr bwMode="auto">
                    <a:xfrm>
                      <a:off x="0" y="0"/>
                      <a:ext cx="5943600" cy="5987415"/>
                    </a:xfrm>
                    <a:prstGeom prst="rect">
                      <a:avLst/>
                    </a:prstGeom>
                  </pic:spPr>
                </pic:pic>
              </a:graphicData>
            </a:graphic>
          </wp:inline>
        </w:drawing>
      </w:r>
    </w:p>
    <w:sectPr>
      <w:headerReference w:type="default" r:id="rId28"/>
      <w:footerReference w:type="default" r:id="rId29"/>
      <w:footnotePr>
        <w:numFmt w:val="decimal"/>
      </w:footnotePr>
      <w:type w:val="nextPage"/>
      <w:pgSz w:w="12240" w:h="15840"/>
      <w:pgMar w:left="1440" w:right="1440" w:header="720" w:top="1440" w:footer="720" w:bottom="144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Times New Roman">
    <w:charset w:val="01"/>
    <w:family w:val="roman"/>
    <w:pitch w:val="variable"/>
  </w:font>
  <w:font w:name="Lucida Grande">
    <w:charset w:val="01"/>
    <w:family w:val="roman"/>
    <w:pitch w:val="variable"/>
  </w:font>
  <w:font w:name="Liberation Sans">
    <w:altName w:val="Arial"/>
    <w:charset w:val="01"/>
    <w:family w:val="swiss"/>
    <w:pitch w:val="variable"/>
  </w:font>
  <w:font w:name="Palatino Linotype">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653487245"/>
    </w:sdtPr>
    <w:sdtContent>
      <w:p>
        <w:pPr>
          <w:pStyle w:val="Footer"/>
          <w:jc w:val="center"/>
          <w:rPr/>
        </w:pPr>
        <w:r>
          <w:rPr/>
          <w:fldChar w:fldCharType="begin"/>
        </w:r>
        <w:r>
          <w:instrText> PAGE </w:instrText>
        </w:r>
        <w:r>
          <w:fldChar w:fldCharType="separate"/>
        </w:r>
        <w:r>
          <w:t>13</w:t>
        </w:r>
        <w:r>
          <w:fldChar w:fldCharType="end"/>
        </w:r>
      </w:p>
    </w:sdtContent>
  </w:sdt>
  <w:p>
    <w:pPr>
      <w:pStyle w:val="Footer"/>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ootnotetext"/>
        <w:rPr/>
      </w:pPr>
      <w:r>
        <w:rPr>
          <w:rStyle w:val="Footnotereference"/>
        </w:rPr>
        <w:footnoteRef/>
        <w:tab/>
      </w:r>
      <w:r>
        <w:rPr/>
        <w:t xml:space="preserve"> </w:t>
      </w:r>
      <w:r>
        <w:rPr>
          <w:rFonts w:cs="Times New Roman" w:ascii="Times New Roman" w:hAnsi="Times New Roman"/>
        </w:rPr>
        <w:t>Federal Register notice, Oct. 10, 2018, p. 50911, col.1.</w:t>
      </w:r>
    </w:p>
  </w:footnote>
  <w:footnote w:id="3">
    <w:p>
      <w:pPr>
        <w:pStyle w:val="Footnotetext"/>
        <w:rPr>
          <w:rFonts w:ascii="Times New Roman" w:hAnsi="Times New Roman" w:cs="Times New Roman"/>
        </w:rPr>
      </w:pPr>
      <w:r>
        <w:rPr>
          <w:rStyle w:val="Footnotereference"/>
        </w:rPr>
        <w:footnoteRef/>
        <w:tab/>
      </w:r>
      <w:r>
        <w:rPr/>
        <w:t xml:space="preserve"> </w:t>
      </w:r>
      <w:r>
        <w:rPr>
          <w:rFonts w:cs="Times New Roman" w:ascii="Times New Roman" w:hAnsi="Times New Roman"/>
          <w:i/>
        </w:rPr>
        <w:t>The Real Costs of Cleaning Up Nuclear Waste: A Full Cost Accounting of Cleanup Options for the West Valley</w:t>
      </w:r>
      <w:r>
        <w:rPr>
          <w:rFonts w:cs="Times New Roman" w:ascii="Times New Roman" w:hAnsi="Times New Roman"/>
        </w:rPr>
        <w:t xml:space="preserve"> </w:t>
      </w:r>
      <w:r>
        <w:rPr>
          <w:rFonts w:cs="Times New Roman" w:ascii="Times New Roman" w:hAnsi="Times New Roman"/>
          <w:i/>
        </w:rPr>
        <w:t xml:space="preserve">Nuclear Waste Site, </w:t>
      </w:r>
      <w:r>
        <w:rPr>
          <w:rFonts w:cs="Times New Roman" w:ascii="Times New Roman" w:hAnsi="Times New Roman"/>
        </w:rPr>
        <w:t xml:space="preserve">Synapse Energy Economics, November, 2008; </w:t>
      </w:r>
    </w:p>
    <w:p>
      <w:pPr>
        <w:pStyle w:val="Footnotetext"/>
        <w:rPr/>
      </w:pPr>
      <w:r>
        <w:rPr>
          <w:rFonts w:cs="Times New Roman" w:ascii="Times New Roman" w:hAnsi="Times New Roman"/>
          <w:color w:val="0070C0"/>
          <w:u w:val="single"/>
        </w:rPr>
        <w:tab/>
        <w:t>https://www.nirs.org/the-real-costs-of-cleaning-up-nuclear-waste</w:t>
      </w:r>
    </w:p>
  </w:footnote>
  <w:footnote w:id="4">
    <w:p>
      <w:pPr>
        <w:pStyle w:val="Footnotetext"/>
        <w:rPr/>
      </w:pPr>
      <w:r>
        <w:rPr>
          <w:rStyle w:val="Footnotereference"/>
          <w:rFonts w:cs="Times New Roman" w:ascii="Times New Roman" w:hAnsi="Times New Roman"/>
        </w:rPr>
        <w:footnoteRef/>
        <w:tab/>
      </w:r>
      <w:r>
        <w:rPr>
          <w:rFonts w:cs="Times New Roman" w:ascii="Times New Roman" w:hAnsi="Times New Roman"/>
        </w:rPr>
        <w:t xml:space="preserve"> </w:t>
      </w:r>
      <w:r>
        <w:rPr>
          <w:rFonts w:cs="Times New Roman" w:ascii="Times New Roman" w:hAnsi="Times New Roman"/>
        </w:rPr>
        <w:t>Ibid., p. 50911, bottom of col.1.</w:t>
      </w:r>
    </w:p>
  </w:footnote>
  <w:footnote w:id="5">
    <w:p>
      <w:pPr>
        <w:pStyle w:val="Default"/>
        <w:rPr/>
      </w:pPr>
      <w:r>
        <w:rPr>
          <w:rStyle w:val="Footnotereference"/>
        </w:rPr>
        <w:footnoteRef/>
        <w:tab/>
      </w:r>
      <w:r>
        <w:rPr/>
        <w:t xml:space="preserve"> </w:t>
      </w:r>
      <w:r>
        <w:rPr>
          <w:sz w:val="20"/>
          <w:szCs w:val="20"/>
        </w:rPr>
        <w:t xml:space="preserve">80 Fed. Reg. 79872 (Dec. 23, 2015).  </w:t>
      </w:r>
    </w:p>
  </w:footnote>
  <w:footnote w:id="6">
    <w:p>
      <w:pPr>
        <w:pStyle w:val="Footnotetext"/>
        <w:rPr/>
      </w:pPr>
      <w:r>
        <w:rPr>
          <w:rStyle w:val="Footnotereference"/>
          <w:rFonts w:ascii="Palatino Linotype" w:hAnsi="Palatino Linotype"/>
        </w:rPr>
        <w:footnoteRef/>
        <w:tab/>
      </w:r>
      <w:r>
        <w:rPr>
          <w:rFonts w:ascii="Palatino Linotype" w:hAnsi="Palatino Linotype"/>
        </w:rPr>
        <w:t xml:space="preserve"> </w:t>
      </w:r>
      <w:r>
        <w:rPr>
          <w:rFonts w:cs="Times New Roman" w:ascii="Times New Roman" w:hAnsi="Times New Roman"/>
        </w:rPr>
        <w:t>Statement of N. Richard Werthamer, Chairman of NYSERDA, to the Environment and the Atmosphere Subcommittee of the House Committee on Science and Technology Regarding Nuclear Reactor Decommissioning, U.S. Nuclear Regulatory Commission (June 15, 1977).</w:t>
      </w:r>
    </w:p>
  </w:footnote>
  <w:footnote w:id="7">
    <w:p>
      <w:pPr>
        <w:pStyle w:val="Default"/>
        <w:rPr/>
      </w:pPr>
      <w:r>
        <w:rPr>
          <w:rStyle w:val="Footnotereference"/>
        </w:rPr>
        <w:footnoteRef/>
        <w:tab/>
      </w:r>
      <w:r>
        <w:rPr/>
        <w:t xml:space="preserve"> </w:t>
      </w:r>
      <w:r>
        <w:rPr>
          <w:sz w:val="13"/>
          <w:szCs w:val="13"/>
        </w:rPr>
        <w:t xml:space="preserve"> </w:t>
      </w:r>
      <w:r>
        <w:rPr>
          <w:i/>
          <w:iCs/>
          <w:sz w:val="20"/>
          <w:szCs w:val="20"/>
        </w:rPr>
        <w:t xml:space="preserve">Ibid. </w:t>
      </w:r>
    </w:p>
  </w:footnote>
  <w:footnote w:id="8">
    <w:p>
      <w:pPr>
        <w:pStyle w:val="Default"/>
        <w:rPr/>
      </w:pPr>
      <w:r>
        <w:rPr>
          <w:rStyle w:val="Footnotereference"/>
        </w:rPr>
        <w:footnoteRef/>
        <w:tab/>
      </w:r>
      <w:r>
        <w:rPr/>
        <w:t xml:space="preserve"> </w:t>
      </w:r>
      <w:r>
        <w:rPr>
          <w:i/>
          <w:iCs/>
          <w:sz w:val="20"/>
          <w:szCs w:val="20"/>
        </w:rPr>
        <w:t xml:space="preserve">Ibid. </w:t>
      </w:r>
      <w:r>
        <w:rPr>
          <w:sz w:val="20"/>
          <w:szCs w:val="20"/>
        </w:rPr>
        <w:t xml:space="preserve">at 60 (statement of Richard Cunningham, Acting Director, Fuel Cycle and Material Safety, Nuclear Regulatory Commission). </w:t>
      </w:r>
      <w:r>
        <w:rPr/>
        <w:t xml:space="preserve"> </w:t>
      </w:r>
    </w:p>
  </w:footnote>
  <w:footnote w:id="9">
    <w:p>
      <w:pPr>
        <w:pStyle w:val="Default"/>
        <w:rPr>
          <w:sz w:val="20"/>
          <w:szCs w:val="20"/>
        </w:rPr>
      </w:pPr>
      <w:r>
        <w:rPr>
          <w:rStyle w:val="Footnotereference"/>
        </w:rPr>
        <w:footnoteRef/>
        <w:tab/>
      </w:r>
      <w:r>
        <w:rPr/>
        <w:t xml:space="preserve"> </w:t>
      </w:r>
      <w:r>
        <w:rPr>
          <w:sz w:val="13"/>
          <w:szCs w:val="13"/>
        </w:rPr>
        <w:t xml:space="preserve"> </w:t>
      </w:r>
      <w:r>
        <w:rPr>
          <w:sz w:val="20"/>
          <w:szCs w:val="20"/>
        </w:rPr>
        <w:t>Committee on Interstate and Foreign Commerce Report on the West Valley Demonstration Project Act, No. 96-100, Part II, 96</w:t>
      </w:r>
      <w:r>
        <w:rPr>
          <w:sz w:val="13"/>
          <w:szCs w:val="13"/>
        </w:rPr>
        <w:t xml:space="preserve">th </w:t>
      </w:r>
      <w:r>
        <w:rPr>
          <w:sz w:val="20"/>
          <w:szCs w:val="20"/>
        </w:rPr>
        <w:t xml:space="preserve">Cong. (Sept. 15, 1980) at 14 (emphasis added). Cited in comments of the NYS Energy Research and Development Authority May 14, 2016. </w:t>
      </w:r>
    </w:p>
    <w:p>
      <w:pPr>
        <w:pStyle w:val="Footnotetext"/>
        <w:rPr/>
      </w:pPr>
      <w:r>
        <w:rPr/>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t>Organizations supporting the comments will be listed here, a well as listing as signatories.</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lvlText w:val="%1)"/>
      <w:lvlJc w:val="left"/>
      <w:pPr>
        <w:ind w:left="720" w:hanging="360"/>
      </w:pPr>
      <w:rPr>
        <w:sz w:val="24"/>
        <w:b/>
        <w:rFonts w:ascii="Times New Roman" w:hAnsi="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200"/>
  <w:defaultTabStop w:val="720"/>
  <w:footnotePr>
    <w:numFmt w:val="decimal"/>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sz w:val="22"/>
      <w:szCs w:val="22"/>
      <w:lang w:val="en-US" w:eastAsia="en-US" w:bidi="ar-SA"/>
    </w:rPr>
  </w:style>
  <w:style w:type="paragraph" w:styleId="Heading1">
    <w:name w:val="Heading 1"/>
    <w:basedOn w:val="Normal"/>
    <w:next w:val="Normal"/>
    <w:link w:val="Heading1Char"/>
    <w:uiPriority w:val="9"/>
    <w:qFormat/>
    <w:rsid w:val="00746872"/>
    <w:pPr>
      <w:keepNext/>
      <w:keepLines/>
      <w:spacing w:before="240" w:after="0"/>
      <w:outlineLvl w:val="0"/>
    </w:pPr>
    <w:rPr>
      <w:rFonts w:ascii="Calibri Light" w:hAnsi="Calibri Light" w:eastAsia="ＭＳ ゴシック" w:cs="" w:asciiTheme="majorHAnsi" w:cstheme="majorBidi" w:eastAsiaTheme="majorEastAsia" w:hAnsiTheme="majorHAnsi"/>
      <w:color w:val="2E74B5" w:themeColor="accent1" w:themeShade="bf"/>
      <w:sz w:val="32"/>
      <w:szCs w:val="32"/>
    </w:rPr>
  </w:style>
  <w:style w:type="paragraph" w:styleId="Heading2">
    <w:name w:val="Heading 2"/>
    <w:basedOn w:val="Normal"/>
    <w:link w:val="Heading2Char"/>
    <w:uiPriority w:val="9"/>
    <w:qFormat/>
    <w:rsid w:val="0093134e"/>
    <w:pPr>
      <w:spacing w:lineRule="auto" w:line="240" w:beforeAutospacing="1" w:afterAutospacing="1"/>
      <w:outlineLvl w:val="1"/>
    </w:pPr>
    <w:rPr>
      <w:rFonts w:ascii="Times New Roman" w:hAnsi="Times New Roman" w:eastAsia="Times New Roman" w:cs="Times New Roman"/>
      <w:b/>
      <w:bCs/>
      <w:sz w:val="36"/>
      <w:szCs w:val="36"/>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rsid w:val="0093134e"/>
    <w:rPr>
      <w:color w:val="0000FF"/>
      <w:u w:val="single"/>
    </w:rPr>
  </w:style>
  <w:style w:type="character" w:styleId="Heading2Char" w:customStyle="1">
    <w:name w:val="Heading 2 Char"/>
    <w:basedOn w:val="DefaultParagraphFont"/>
    <w:link w:val="Heading2"/>
    <w:uiPriority w:val="9"/>
    <w:qFormat/>
    <w:rsid w:val="0093134e"/>
    <w:rPr>
      <w:rFonts w:ascii="Times New Roman" w:hAnsi="Times New Roman" w:eastAsia="Times New Roman" w:cs="Times New Roman"/>
      <w:b/>
      <w:bCs/>
      <w:sz w:val="36"/>
      <w:szCs w:val="36"/>
    </w:rPr>
  </w:style>
  <w:style w:type="character" w:styleId="Heading1Char" w:customStyle="1">
    <w:name w:val="Heading 1 Char"/>
    <w:basedOn w:val="DefaultParagraphFont"/>
    <w:link w:val="Heading1"/>
    <w:uiPriority w:val="9"/>
    <w:qFormat/>
    <w:rsid w:val="00746872"/>
    <w:rPr>
      <w:rFonts w:ascii="Calibri Light" w:hAnsi="Calibri Light" w:eastAsia="ＭＳ ゴシック" w:cs="" w:asciiTheme="majorHAnsi" w:cstheme="majorBidi" w:eastAsiaTheme="majorEastAsia" w:hAnsiTheme="majorHAnsi"/>
      <w:color w:val="2E74B5" w:themeColor="accent1" w:themeShade="bf"/>
      <w:sz w:val="32"/>
      <w:szCs w:val="32"/>
    </w:rPr>
  </w:style>
  <w:style w:type="character" w:styleId="HeaderChar" w:customStyle="1">
    <w:name w:val="Header Char"/>
    <w:basedOn w:val="DefaultParagraphFont"/>
    <w:link w:val="Header"/>
    <w:uiPriority w:val="99"/>
    <w:qFormat/>
    <w:rsid w:val="00395bd0"/>
    <w:rPr/>
  </w:style>
  <w:style w:type="character" w:styleId="FooterChar" w:customStyle="1">
    <w:name w:val="Footer Char"/>
    <w:basedOn w:val="DefaultParagraphFont"/>
    <w:link w:val="Footer"/>
    <w:uiPriority w:val="99"/>
    <w:qFormat/>
    <w:rsid w:val="00395bd0"/>
    <w:rPr/>
  </w:style>
  <w:style w:type="character" w:styleId="FootnoteTextChar" w:customStyle="1">
    <w:name w:val="Footnote Text Char"/>
    <w:basedOn w:val="DefaultParagraphFont"/>
    <w:link w:val="FootnoteText"/>
    <w:uiPriority w:val="99"/>
    <w:semiHidden/>
    <w:qFormat/>
    <w:rsid w:val="008d0de2"/>
    <w:rPr>
      <w:sz w:val="20"/>
      <w:szCs w:val="20"/>
    </w:rPr>
  </w:style>
  <w:style w:type="character" w:styleId="Footnotereference">
    <w:name w:val="footnote reference"/>
    <w:basedOn w:val="DefaultParagraphFont"/>
    <w:uiPriority w:val="99"/>
    <w:semiHidden/>
    <w:unhideWhenUsed/>
    <w:qFormat/>
    <w:rsid w:val="008d0de2"/>
    <w:rPr>
      <w:vertAlign w:val="superscript"/>
    </w:rPr>
  </w:style>
  <w:style w:type="character" w:styleId="BalloonTextChar" w:customStyle="1">
    <w:name w:val="Balloon Text Char"/>
    <w:basedOn w:val="DefaultParagraphFont"/>
    <w:link w:val="BalloonText"/>
    <w:uiPriority w:val="99"/>
    <w:semiHidden/>
    <w:qFormat/>
    <w:rsid w:val="00e3737d"/>
    <w:rPr>
      <w:rFonts w:ascii="Lucida Grande" w:hAnsi="Lucida Grande" w:cs="Lucida Grande"/>
      <w:sz w:val="18"/>
      <w:szCs w:val="18"/>
    </w:rPr>
  </w:style>
  <w:style w:type="character" w:styleId="ListLabel1">
    <w:name w:val="ListLabel 1"/>
    <w:qFormat/>
    <w:rPr>
      <w:rFonts w:ascii="Times New Roman" w:hAnsi="Times New Roman"/>
      <w:b/>
      <w:sz w:val="24"/>
    </w:rPr>
  </w:style>
  <w:style w:type="character" w:styleId="FootnoteCharacters">
    <w:name w:val="Footnote Characters"/>
    <w:qFormat/>
    <w:rPr/>
  </w:style>
  <w:style w:type="character" w:styleId="FootnoteAnchor">
    <w:name w:val="Footnote Anchor"/>
    <w:rPr>
      <w:vertAlign w:val="superscript"/>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spacing w:before="240" w:after="120"/>
    </w:pPr>
    <w:rPr>
      <w:rFonts w:ascii="Liberation Sans" w:hAnsi="Liberation Sans" w:eastAsia="Noto Sans CJK SC Regular" w:cs="Free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ListParagraph">
    <w:name w:val="List Paragraph"/>
    <w:basedOn w:val="Normal"/>
    <w:uiPriority w:val="34"/>
    <w:qFormat/>
    <w:rsid w:val="00290080"/>
    <w:pPr>
      <w:spacing w:before="0" w:after="160"/>
      <w:ind w:left="720" w:hanging="0"/>
      <w:contextualSpacing/>
    </w:pPr>
    <w:rPr/>
  </w:style>
  <w:style w:type="paragraph" w:styleId="NormalWeb">
    <w:name w:val="Normal (Web)"/>
    <w:basedOn w:val="Normal"/>
    <w:uiPriority w:val="99"/>
    <w:semiHidden/>
    <w:unhideWhenUsed/>
    <w:qFormat/>
    <w:rsid w:val="0093134e"/>
    <w:pPr>
      <w:spacing w:lineRule="auto" w:line="240" w:beforeAutospacing="1" w:afterAutospacing="1"/>
    </w:pPr>
    <w:rPr>
      <w:rFonts w:ascii="Times New Roman" w:hAnsi="Times New Roman" w:eastAsia="Times New Roman" w:cs="Times New Roman"/>
      <w:sz w:val="24"/>
      <w:szCs w:val="24"/>
    </w:rPr>
  </w:style>
  <w:style w:type="paragraph" w:styleId="Resultssponsoredtitle" w:customStyle="1">
    <w:name w:val="results-sponsored-title"/>
    <w:basedOn w:val="Normal"/>
    <w:qFormat/>
    <w:rsid w:val="0093134e"/>
    <w:pPr>
      <w:spacing w:lineRule="auto" w:line="240" w:beforeAutospacing="1" w:afterAutospacing="1"/>
    </w:pPr>
    <w:rPr>
      <w:rFonts w:ascii="Times New Roman" w:hAnsi="Times New Roman" w:eastAsia="Times New Roman" w:cs="Times New Roman"/>
      <w:sz w:val="24"/>
      <w:szCs w:val="24"/>
    </w:rPr>
  </w:style>
  <w:style w:type="paragraph" w:styleId="Header">
    <w:name w:val="Header"/>
    <w:basedOn w:val="Normal"/>
    <w:link w:val="HeaderChar"/>
    <w:uiPriority w:val="99"/>
    <w:unhideWhenUsed/>
    <w:rsid w:val="00395bd0"/>
    <w:pPr>
      <w:tabs>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395bd0"/>
    <w:pPr>
      <w:tabs>
        <w:tab w:val="center" w:pos="4680" w:leader="none"/>
        <w:tab w:val="right" w:pos="9360" w:leader="none"/>
      </w:tabs>
      <w:spacing w:lineRule="auto" w:line="240" w:before="0" w:after="0"/>
    </w:pPr>
    <w:rPr/>
  </w:style>
  <w:style w:type="paragraph" w:styleId="Default" w:customStyle="1">
    <w:name w:val="Default"/>
    <w:qFormat/>
    <w:rsid w:val="0017799c"/>
    <w:pPr>
      <w:widowControl/>
      <w:bidi w:val="0"/>
      <w:spacing w:lineRule="auto" w:line="240" w:before="0" w:after="0"/>
      <w:jc w:val="left"/>
    </w:pPr>
    <w:rPr>
      <w:rFonts w:ascii="Times New Roman" w:hAnsi="Times New Roman" w:cs="Times New Roman" w:eastAsia="Calibri"/>
      <w:color w:val="000000"/>
      <w:sz w:val="24"/>
      <w:szCs w:val="24"/>
      <w:lang w:val="en-US" w:eastAsia="en-US" w:bidi="ar-SA"/>
    </w:rPr>
  </w:style>
  <w:style w:type="paragraph" w:styleId="Footnotetext">
    <w:name w:val="footnote text"/>
    <w:basedOn w:val="Normal"/>
    <w:link w:val="FootnoteTextChar"/>
    <w:uiPriority w:val="99"/>
    <w:semiHidden/>
    <w:unhideWhenUsed/>
    <w:qFormat/>
    <w:rsid w:val="008d0de2"/>
    <w:pPr>
      <w:spacing w:lineRule="auto" w:line="240" w:before="0" w:after="0"/>
    </w:pPr>
    <w:rPr>
      <w:sz w:val="20"/>
      <w:szCs w:val="20"/>
    </w:rPr>
  </w:style>
  <w:style w:type="paragraph" w:styleId="BalloonText">
    <w:name w:val="Balloon Text"/>
    <w:basedOn w:val="Normal"/>
    <w:link w:val="BalloonTextChar"/>
    <w:uiPriority w:val="99"/>
    <w:semiHidden/>
    <w:unhideWhenUsed/>
    <w:qFormat/>
    <w:rsid w:val="00e3737d"/>
    <w:pPr>
      <w:spacing w:lineRule="auto" w:line="240" w:before="0" w:after="0"/>
    </w:pPr>
    <w:rPr>
      <w:rFonts w:ascii="Lucida Grande" w:hAnsi="Lucida Grande" w:cs="Lucida Grande"/>
      <w:sz w:val="18"/>
      <w:szCs w:val="18"/>
    </w:rPr>
  </w:style>
  <w:style w:type="paragraph" w:styleId="Footnote">
    <w:name w:val="Footnote Text"/>
    <w:basedOn w:val="Normal"/>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warrenba@msn.com" TargetMode="External"/><Relationship Id="rId3" Type="http://schemas.openxmlformats.org/officeDocument/2006/relationships/image" Target="media/image1.png"/><Relationship Id="rId4" Type="http://schemas.openxmlformats.org/officeDocument/2006/relationships/hyperlink" Target="https://www.law.cornell.edu/definitions/index.php?width=840&amp;height=800&amp;iframe=true&amp;def_id=96d5084623620b2e587c06db009b78d5&amp;term_occur=1&amp;term_src=Title:10:Chapter:I:Part:61:Subpart:C:61.40" TargetMode="External"/><Relationship Id="rId5" Type="http://schemas.openxmlformats.org/officeDocument/2006/relationships/hyperlink" Target="https://www.law.cornell.edu/definitions/index.php?width=840&amp;height=800&amp;iframe=true&amp;def_id=690acee8500129dc7d111627f347273c&amp;term_occur=1&amp;term_src=Title:10:Chapter:I:Part:61:Subpart:C:61.40" TargetMode="External"/><Relationship Id="rId6" Type="http://schemas.openxmlformats.org/officeDocument/2006/relationships/hyperlink" Target="https://www.law.cornell.edu/cfr/text/10/61.41" TargetMode="External"/><Relationship Id="rId7" Type="http://schemas.openxmlformats.org/officeDocument/2006/relationships/hyperlink" Target="https://www.law.cornell.edu/definitions/index.php?width=840&amp;height=800&amp;iframe=true&amp;def_id=b18f708aacc8bf6f03c090c4866e607b&amp;term_occur=1&amp;term_src=Title:10:Chapter:I:Part:61:Subpart:C:61.41" TargetMode="External"/><Relationship Id="rId8" Type="http://schemas.openxmlformats.org/officeDocument/2006/relationships/hyperlink" Target="https://www.law.cornell.edu/definitions/index.php?width=840&amp;height=800&amp;iframe=true&amp;def_id=6539d401256e89ca9265618bdf0bf58d&amp;term_occur=1&amp;term_src=Title:10:Chapter:I:Part:61:Subpart:C:61.42" TargetMode="External"/><Relationship Id="rId9" Type="http://schemas.openxmlformats.org/officeDocument/2006/relationships/hyperlink" Target="https://www.law.cornell.edu/definitions/index.php?width=840&amp;height=800&amp;iframe=true&amp;def_id=690acee8500129dc7d111627f347273c&amp;term_occur=1&amp;term_src=Title:10:Chapter:I:Part:61:Subpart:C:61.42" TargetMode="External"/><Relationship Id="rId10" Type="http://schemas.openxmlformats.org/officeDocument/2006/relationships/hyperlink" Target="https://www.law.cornell.edu/definitions/index.php?width=840&amp;height=800&amp;iframe=true&amp;def_id=791c19970f4da0cb135303b4ce568dc7&amp;term_occur=1&amp;term_src=Title:10:Chapter:I:Part:61:Subpart:C:61.42" TargetMode="External"/><Relationship Id="rId11" Type="http://schemas.openxmlformats.org/officeDocument/2006/relationships/hyperlink" Target="https://www.law.cornell.edu/definitions/index.php?width=840&amp;height=800&amp;iframe=true&amp;def_id=009cb0bbf848db41f94f0f7b3136e6f7&amp;term_occur=1&amp;term_src=Title:10:Chapter:I:Part:61:Subpart:C:61.42" TargetMode="External"/><Relationship Id="rId12" Type="http://schemas.openxmlformats.org/officeDocument/2006/relationships/hyperlink" Target="https://www.law.cornell.edu/definitions/index.php?width=840&amp;height=800&amp;iframe=true&amp;def_id=10e19482e7138bd761942296a2c03b38&amp;term_occur=1&amp;term_src=Title:10:Chapter:I:Part:61:Subpart:C:61.42" TargetMode="External"/><Relationship Id="rId13" Type="http://schemas.openxmlformats.org/officeDocument/2006/relationships/hyperlink" Target="https://www.law.cornell.edu/definitions/index.php?width=840&amp;height=800&amp;iframe=true&amp;def_id=009cb0bbf848db41f94f0f7b3136e6f7&amp;term_occur=2&amp;term_src=Title:10:Chapter:I:Part:61:Subpart:C:61.42" TargetMode="External"/><Relationship Id="rId14" Type="http://schemas.openxmlformats.org/officeDocument/2006/relationships/hyperlink" Target="https://www.law.cornell.edu/definitions/index.php?width=840&amp;height=800&amp;iframe=true&amp;def_id=f97feb89014cca31358add6208fbddf7&amp;term_occur=1&amp;term_src=Title:10:Chapter:I:Part:61:Subpart:C:61.44" TargetMode="External"/><Relationship Id="rId15" Type="http://schemas.openxmlformats.org/officeDocument/2006/relationships/hyperlink" Target="https://www.law.cornell.edu/definitions/index.php?width=840&amp;height=800&amp;iframe=true&amp;def_id=009cb0bbf848db41f94f0f7b3136e6f7&amp;term_occur=1&amp;term_src=Title:10:Chapter:I:Part:61:Subpart:C:61.44" TargetMode="External"/><Relationship Id="rId16" Type="http://schemas.openxmlformats.org/officeDocument/2006/relationships/hyperlink" Target="https://www.law.cornell.edu/definitions/index.php?width=840&amp;height=800&amp;iframe=true&amp;def_id=690acee8500129dc7d111627f347273c&amp;term_occur=1&amp;term_src=Title:10:Chapter:I:Part:61:Subpart:C:61.44" TargetMode="External"/><Relationship Id="rId17" Type="http://schemas.openxmlformats.org/officeDocument/2006/relationships/hyperlink" Target="https://www.law.cornell.edu/definitions/index.php?width=840&amp;height=800&amp;iframe=true&amp;def_id=96d5084623620b2e587c06db009b78d5&amp;term_occur=1&amp;term_src=Title:10:Chapter:I:Part:61:Subpart:C:61.44" TargetMode="External"/><Relationship Id="rId18" Type="http://schemas.openxmlformats.org/officeDocument/2006/relationships/hyperlink" Target="https://www.law.cornell.edu/definitions/index.php?width=840&amp;height=800&amp;iframe=true&amp;def_id=f97feb89014cca31358add6208fbddf7&amp;term_occur=2&amp;term_src=Title:10:Chapter:I:Part:61:Subpart:C:61.44" TargetMode="External"/><Relationship Id="rId19" Type="http://schemas.openxmlformats.org/officeDocument/2006/relationships/hyperlink" Target="https://www.law.cornell.edu/definitions/index.php?width=840&amp;height=800&amp;iframe=true&amp;def_id=009cb0bbf848db41f94f0f7b3136e6f7&amp;term_occur=2&amp;term_src=Title:10:Chapter:I:Part:61:Subpart:C:61.44" TargetMode="External"/><Relationship Id="rId20" Type="http://schemas.openxmlformats.org/officeDocument/2006/relationships/hyperlink" Target="https://www.law.cornell.edu/definitions/index.php?width=840&amp;height=800&amp;iframe=true&amp;def_id=c83f55410e5a2c41e60d05c6da26ab11&amp;term_occur=1&amp;term_src=Title:10:Chapter:I:Part:61:Subpart:C:61.44" TargetMode="External"/><Relationship Id="rId21" Type="http://schemas.openxmlformats.org/officeDocument/2006/relationships/hyperlink" Target="https://www.law.cornell.edu/definitions/index.php?width=840&amp;height=800&amp;iframe=true&amp;def_id=009cb0bbf848db41f94f0f7b3136e6f7&amp;term_occur=3&amp;term_src=Title:10:Chapter:I:Part:61:Subpart:C:61.44" TargetMode="External"/><Relationship Id="rId22" Type="http://schemas.openxmlformats.org/officeDocument/2006/relationships/hyperlink" Target="https://www.law.cornell.edu/definitions/index.php?width=840&amp;height=800&amp;iframe=true&amp;def_id=690acee8500129dc7d111627f347273c&amp;term_occur=2&amp;term_src=Title:10:Chapter:I:Part:61:Subpart:C:61.44" TargetMode="External"/><Relationship Id="rId23" Type="http://schemas.openxmlformats.org/officeDocument/2006/relationships/hyperlink" Target="https://www.law.cornell.edu/definitions/index.php?width=840&amp;height=800&amp;iframe=true&amp;def_id=2960e159e5b4a5837b0969bb50930e9b&amp;term_occur=1&amp;term_src=Title:10:Chapter:I:Part:61:Subpart:C:61.44" TargetMode="External"/><Relationship Id="rId24" Type="http://schemas.openxmlformats.org/officeDocument/2006/relationships/hyperlink" Target="https://www.law.cornell.edu/definitions/index.php?width=840&amp;height=800&amp;iframe=true&amp;def_id=91f49bf48fcd4b8a2057728a7b83bb17&amp;term_occur=1&amp;term_src=Title:10:Chapter:I:Part:61:Subpart:C:61.44" TargetMode="External"/><Relationship Id="rId25" Type="http://schemas.openxmlformats.org/officeDocument/2006/relationships/image" Target="media/image2.wmf"/><Relationship Id="rId26" Type="http://schemas.openxmlformats.org/officeDocument/2006/relationships/image" Target="media/image3.wmf"/><Relationship Id="rId27" Type="http://schemas.openxmlformats.org/officeDocument/2006/relationships/image" Target="media/image4.wmf"/><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footnotes" Target="footnotes.xml"/><Relationship Id="rId31" Type="http://schemas.openxmlformats.org/officeDocument/2006/relationships/numbering" Target="numbering.xml"/><Relationship Id="rId32" Type="http://schemas.openxmlformats.org/officeDocument/2006/relationships/fontTable" Target="fontTable.xml"/><Relationship Id="rId33" Type="http://schemas.openxmlformats.org/officeDocument/2006/relationships/settings" Target="settings.xml"/><Relationship Id="rId34" Type="http://schemas.openxmlformats.org/officeDocument/2006/relationships/theme" Target="theme/theme1.xml"/><Relationship Id="rId35"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786C7-029C-B24A-A1F4-42FC31BDB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Application>LibreOffice/5.1.6.2$Linux_X86_64 LibreOffice_project/10m0$Build-2</Application>
  <Pages>13</Pages>
  <Words>4167</Words>
  <CharactersWithSpaces>23752</CharactersWithSpaces>
  <Paragraphs>55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2018-12-24T17:38:00Z</dcterms:created>
  <dc:creator>Barbara</dc:creator>
  <dc:description/>
  <dc:language>en-US</dc:language>
  <cp:lastModifiedBy>Terri Parks User</cp:lastModifiedBy>
  <cp:lastPrinted>2018-12-16T17:28:00Z</cp:lastPrinted>
  <dcterms:modified xsi:type="dcterms:W3CDTF">2019-01-06T22:47:00Z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